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E375" w14:textId="46F01935" w:rsidR="00D22A2E" w:rsidRPr="00D22A2E" w:rsidRDefault="00D22A2E" w:rsidP="00D22A2E">
      <w:pPr>
        <w:jc w:val="center"/>
        <w:rPr>
          <w:sz w:val="40"/>
          <w:szCs w:val="40"/>
        </w:rPr>
      </w:pPr>
      <w:bookmarkStart w:id="0" w:name="_GoBack"/>
      <w:bookmarkEnd w:id="0"/>
      <w:r w:rsidRPr="00D22A2E">
        <w:rPr>
          <w:sz w:val="40"/>
          <w:szCs w:val="40"/>
        </w:rPr>
        <w:t>United States District Court</w:t>
      </w:r>
    </w:p>
    <w:p w14:paraId="23A4D7C6" w14:textId="77777777" w:rsidR="00D22A2E" w:rsidRPr="00D22A2E" w:rsidRDefault="00D22A2E" w:rsidP="00D22A2E">
      <w:pPr>
        <w:jc w:val="center"/>
        <w:rPr>
          <w:sz w:val="28"/>
          <w:szCs w:val="28"/>
        </w:rPr>
      </w:pPr>
      <w:r w:rsidRPr="00D22A2E">
        <w:rPr>
          <w:sz w:val="28"/>
          <w:szCs w:val="28"/>
        </w:rPr>
        <w:t>Western District of Texas</w:t>
      </w:r>
    </w:p>
    <w:p w14:paraId="05F6795C" w14:textId="77777777" w:rsidR="00D22A2E" w:rsidRDefault="00D22A2E" w:rsidP="00D22A2E">
      <w:pPr>
        <w:jc w:val="center"/>
        <w:rPr>
          <w:sz w:val="28"/>
          <w:szCs w:val="28"/>
        </w:rPr>
      </w:pPr>
      <w:r w:rsidRPr="00D22A2E">
        <w:rPr>
          <w:sz w:val="28"/>
          <w:szCs w:val="28"/>
        </w:rPr>
        <w:t>Waco Division</w:t>
      </w:r>
    </w:p>
    <w:p w14:paraId="5B9A7B43" w14:textId="77777777" w:rsidR="00D22A2E" w:rsidRDefault="00D22A2E" w:rsidP="00D22A2E">
      <w:pPr>
        <w:jc w:val="center"/>
        <w:rPr>
          <w:sz w:val="28"/>
          <w:szCs w:val="28"/>
        </w:rPr>
      </w:pPr>
    </w:p>
    <w:tbl>
      <w:tblPr>
        <w:tblW w:w="0" w:type="auto"/>
        <w:tblLook w:val="04A0" w:firstRow="1" w:lastRow="0" w:firstColumn="1" w:lastColumn="0" w:noHBand="0" w:noVBand="1"/>
      </w:tblPr>
      <w:tblGrid>
        <w:gridCol w:w="4414"/>
        <w:gridCol w:w="446"/>
        <w:gridCol w:w="4500"/>
      </w:tblGrid>
      <w:tr w:rsidR="00AC477F" w:rsidRPr="006D3020" w14:paraId="47125011" w14:textId="77777777" w:rsidTr="00AC477F">
        <w:tc>
          <w:tcPr>
            <w:tcW w:w="4518" w:type="dxa"/>
            <w:shd w:val="clear" w:color="auto" w:fill="auto"/>
          </w:tcPr>
          <w:p w14:paraId="5077A60F" w14:textId="77777777" w:rsidR="00AC477F" w:rsidRPr="006D3020" w:rsidRDefault="00516D37" w:rsidP="00516D37">
            <w:pPr>
              <w:spacing w:after="240"/>
            </w:pPr>
            <w:r>
              <w:t>[</w:t>
            </w:r>
            <w:r w:rsidR="00AC477F" w:rsidRPr="006D3020">
              <w:t>Plaintiff</w:t>
            </w:r>
            <w:r>
              <w:t>]</w:t>
            </w:r>
            <w:r w:rsidR="00AC477F" w:rsidRPr="006D3020">
              <w:t>,</w:t>
            </w:r>
          </w:p>
          <w:p w14:paraId="192A7CCC" w14:textId="77777777" w:rsidR="00AC477F" w:rsidRPr="006D3020" w:rsidRDefault="00AC477F" w:rsidP="00934E5C">
            <w:pPr>
              <w:spacing w:after="240"/>
            </w:pPr>
            <w:r w:rsidRPr="006D3020">
              <w:t>v.</w:t>
            </w:r>
          </w:p>
          <w:p w14:paraId="0E024E71" w14:textId="77777777" w:rsidR="00AC477F" w:rsidRPr="006D3020" w:rsidRDefault="00516D37" w:rsidP="00516D37">
            <w:pPr>
              <w:spacing w:after="240"/>
            </w:pPr>
            <w:r>
              <w:t>[</w:t>
            </w:r>
            <w:r w:rsidR="00AC477F" w:rsidRPr="006D3020">
              <w:t>Defendant</w:t>
            </w:r>
            <w:r>
              <w:t>]</w:t>
            </w:r>
            <w:r w:rsidR="00AC477F" w:rsidRPr="006D3020">
              <w:t>.</w:t>
            </w:r>
          </w:p>
        </w:tc>
        <w:tc>
          <w:tcPr>
            <w:tcW w:w="450" w:type="dxa"/>
            <w:shd w:val="clear" w:color="auto" w:fill="auto"/>
          </w:tcPr>
          <w:p w14:paraId="0987FE99" w14:textId="77777777" w:rsidR="00AC477F" w:rsidRPr="006D3020" w:rsidRDefault="00AC477F" w:rsidP="00934E5C">
            <w:r w:rsidRPr="006D3020">
              <w:t>§</w:t>
            </w:r>
          </w:p>
          <w:p w14:paraId="413EFA3D" w14:textId="77777777" w:rsidR="00AC477F" w:rsidRPr="006D3020" w:rsidRDefault="00AC477F" w:rsidP="00934E5C">
            <w:r w:rsidRPr="006D3020">
              <w:t>§</w:t>
            </w:r>
          </w:p>
          <w:p w14:paraId="2812DB04" w14:textId="77777777" w:rsidR="00AC477F" w:rsidRPr="006D3020" w:rsidRDefault="00AC477F" w:rsidP="00934E5C">
            <w:r w:rsidRPr="006D3020">
              <w:t>§</w:t>
            </w:r>
          </w:p>
          <w:p w14:paraId="7668EEA8" w14:textId="77777777" w:rsidR="00AC477F" w:rsidRPr="006D3020" w:rsidRDefault="00AC477F" w:rsidP="00934E5C">
            <w:r w:rsidRPr="006D3020">
              <w:t>§</w:t>
            </w:r>
          </w:p>
          <w:p w14:paraId="3298AACD" w14:textId="77777777" w:rsidR="00AC477F" w:rsidRPr="006D3020" w:rsidRDefault="00AC477F" w:rsidP="00934E5C">
            <w:r w:rsidRPr="006D3020">
              <w:t>§</w:t>
            </w:r>
          </w:p>
          <w:p w14:paraId="25DD5969" w14:textId="77777777" w:rsidR="00AC477F" w:rsidRPr="006D3020" w:rsidRDefault="00AC477F" w:rsidP="00934E5C">
            <w:r w:rsidRPr="006D3020">
              <w:t>§</w:t>
            </w:r>
          </w:p>
          <w:p w14:paraId="37BBC9F1" w14:textId="77777777" w:rsidR="00AC477F" w:rsidRPr="006D3020" w:rsidRDefault="00AC477F" w:rsidP="00934E5C">
            <w:r w:rsidRPr="006D3020">
              <w:t>§</w:t>
            </w:r>
          </w:p>
          <w:p w14:paraId="3A3EF041" w14:textId="77777777" w:rsidR="00AC477F" w:rsidRPr="006D3020" w:rsidRDefault="00AC477F" w:rsidP="00934E5C">
            <w:r w:rsidRPr="006D3020">
              <w:t>§</w:t>
            </w:r>
          </w:p>
          <w:p w14:paraId="1B93AEF4" w14:textId="77777777" w:rsidR="00AC477F" w:rsidRPr="006D3020" w:rsidRDefault="00AC477F" w:rsidP="00934E5C">
            <w:r w:rsidRPr="006D3020">
              <w:t>§</w:t>
            </w:r>
          </w:p>
          <w:p w14:paraId="0BAB891B" w14:textId="77777777" w:rsidR="00AC477F" w:rsidRPr="006D3020" w:rsidRDefault="00AC477F" w:rsidP="00934E5C">
            <w:r w:rsidRPr="006D3020">
              <w:t>§</w:t>
            </w:r>
          </w:p>
        </w:tc>
        <w:tc>
          <w:tcPr>
            <w:tcW w:w="4608" w:type="dxa"/>
            <w:shd w:val="clear" w:color="auto" w:fill="auto"/>
          </w:tcPr>
          <w:p w14:paraId="4EB788B4" w14:textId="77777777" w:rsidR="00AC477F" w:rsidRDefault="00AC477F" w:rsidP="00934E5C">
            <w:pPr>
              <w:spacing w:after="840"/>
            </w:pPr>
          </w:p>
          <w:p w14:paraId="72044E8F" w14:textId="77777777" w:rsidR="00AC477F" w:rsidRDefault="00AC477F" w:rsidP="00AC477F">
            <w:r>
              <w:t xml:space="preserve">CIVIL ACTION NO. </w:t>
            </w:r>
          </w:p>
          <w:p w14:paraId="2A46B6BE" w14:textId="77777777" w:rsidR="00AC477F" w:rsidRPr="006D3020" w:rsidRDefault="00AC477F" w:rsidP="00C12E82">
            <w:pPr>
              <w:spacing w:before="60"/>
            </w:pPr>
            <w:r>
              <w:t>JUDGE ALBRIGHT</w:t>
            </w:r>
          </w:p>
          <w:p w14:paraId="75DD54FC" w14:textId="77777777" w:rsidR="00AC477F" w:rsidRPr="006D3020" w:rsidRDefault="00AC477F" w:rsidP="00934E5C"/>
        </w:tc>
      </w:tr>
    </w:tbl>
    <w:p w14:paraId="24967438" w14:textId="77777777" w:rsidR="00404912" w:rsidRPr="00033856" w:rsidRDefault="001B481F" w:rsidP="00C12E82">
      <w:pPr>
        <w:spacing w:before="240" w:after="240"/>
        <w:jc w:val="center"/>
        <w:rPr>
          <w:b/>
          <w:u w:val="single"/>
        </w:rPr>
      </w:pPr>
      <w:r w:rsidRPr="00033856">
        <w:rPr>
          <w:b/>
          <w:u w:val="single"/>
        </w:rPr>
        <w:t>ORDER GOVERNING PROCEEDINGS – PATENT CASE</w:t>
      </w:r>
    </w:p>
    <w:p w14:paraId="3AF54C3B" w14:textId="77777777" w:rsidR="005076DC" w:rsidRDefault="005076DC">
      <w:r>
        <w:t>This Order shall govern proceedings in this case.  The following deadlines are hereby set:</w:t>
      </w:r>
    </w:p>
    <w:p w14:paraId="6F7A3CA3" w14:textId="77777777" w:rsidR="005076DC" w:rsidRDefault="005076DC"/>
    <w:p w14:paraId="53FC39AB" w14:textId="3F6B3F47" w:rsidR="00F600D8" w:rsidRDefault="005076DC" w:rsidP="00AC045A">
      <w:pPr>
        <w:pStyle w:val="ListParagraph"/>
        <w:widowControl w:val="0"/>
        <w:numPr>
          <w:ilvl w:val="0"/>
          <w:numId w:val="36"/>
        </w:numPr>
        <w:spacing w:after="240"/>
        <w:contextualSpacing w:val="0"/>
      </w:pPr>
      <w:r>
        <w:t xml:space="preserve">This case is SET for a </w:t>
      </w:r>
      <w:r w:rsidR="00CC0562">
        <w:t xml:space="preserve">telephonic </w:t>
      </w:r>
      <w:r>
        <w:t xml:space="preserve">Rule 16 </w:t>
      </w:r>
      <w:r w:rsidR="008012A1">
        <w:t xml:space="preserve">Case </w:t>
      </w:r>
      <w:r>
        <w:t xml:space="preserve">Management Conference on ______________ at ____.  </w:t>
      </w:r>
      <w:r w:rsidR="00CC0562">
        <w:t>Participants shall dial into the following number 5 minutes before</w:t>
      </w:r>
      <w:r w:rsidR="00AC045A">
        <w:t xml:space="preserve"> the scheduled time: </w:t>
      </w:r>
      <w:r w:rsidR="00AC045A" w:rsidRPr="00AC045A">
        <w:rPr>
          <w:b/>
          <w:u w:val="single"/>
        </w:rPr>
        <w:t xml:space="preserve">866.434.5269; </w:t>
      </w:r>
      <w:r w:rsidR="00AC045A">
        <w:rPr>
          <w:b/>
          <w:u w:val="single"/>
        </w:rPr>
        <w:t xml:space="preserve">access </w:t>
      </w:r>
      <w:r w:rsidR="00AC045A" w:rsidRPr="00AC045A">
        <w:rPr>
          <w:b/>
          <w:u w:val="single"/>
        </w:rPr>
        <w:t>code 967-8090</w:t>
      </w:r>
      <w:r w:rsidR="00CC0562">
        <w:t xml:space="preserve">.  </w:t>
      </w:r>
      <w:r>
        <w:t xml:space="preserve">Lead counsel for </w:t>
      </w:r>
      <w:r w:rsidR="00AF405F">
        <w:t xml:space="preserve">each party, </w:t>
      </w:r>
      <w:r>
        <w:t xml:space="preserve">and all unrepresented parties, shall be present.  </w:t>
      </w:r>
      <w:r w:rsidR="00F600D8" w:rsidRPr="00F600D8">
        <w:t xml:space="preserve">Client representatives are welcome to attend, but such attendance is not required. </w:t>
      </w:r>
      <w:r w:rsidR="00F600D8">
        <w:t xml:space="preserve"> </w:t>
      </w:r>
      <w:r>
        <w:t>The</w:t>
      </w:r>
      <w:r w:rsidR="008012A1">
        <w:t xml:space="preserve"> Court expects the parties to be prepared to discuss</w:t>
      </w:r>
      <w:r w:rsidR="00F600D8">
        <w:t>:</w:t>
      </w:r>
    </w:p>
    <w:p w14:paraId="27B9D47A" w14:textId="03225CB4" w:rsidR="00F600D8" w:rsidRDefault="008012A1" w:rsidP="00FF548B">
      <w:pPr>
        <w:pStyle w:val="ListParagraph"/>
        <w:widowControl w:val="0"/>
        <w:numPr>
          <w:ilvl w:val="1"/>
          <w:numId w:val="36"/>
        </w:numPr>
        <w:spacing w:after="240"/>
        <w:contextualSpacing w:val="0"/>
      </w:pPr>
      <w:r>
        <w:t xml:space="preserve"> an overview of the claims and defenses</w:t>
      </w:r>
      <w:r w:rsidR="00AA5244">
        <w:t>, including any unique issues the parties believe should be addressed at this stage of the case</w:t>
      </w:r>
      <w:r w:rsidR="00F600D8">
        <w:t>;</w:t>
      </w:r>
      <w:r>
        <w:t xml:space="preserve"> </w:t>
      </w:r>
    </w:p>
    <w:p w14:paraId="4142FED5" w14:textId="29465A75" w:rsidR="00F600D8" w:rsidRDefault="008012A1" w:rsidP="00CC0562">
      <w:pPr>
        <w:pStyle w:val="ListParagraph"/>
        <w:widowControl w:val="0"/>
        <w:numPr>
          <w:ilvl w:val="1"/>
          <w:numId w:val="36"/>
        </w:numPr>
        <w:spacing w:after="240"/>
        <w:contextualSpacing w:val="0"/>
      </w:pPr>
      <w:r>
        <w:t>issues involving the case schedule and potential amendments to the Court’s default scheduling or</w:t>
      </w:r>
      <w:r w:rsidR="00922D0D">
        <w:t>der</w:t>
      </w:r>
      <w:r w:rsidR="004C27A5">
        <w:t>,</w:t>
      </w:r>
      <w:r w:rsidR="008A16DE">
        <w:t xml:space="preserve"> including the date</w:t>
      </w:r>
      <w:r w:rsidR="004C27A5">
        <w:t xml:space="preserve"> for the </w:t>
      </w:r>
      <w:r w:rsidR="004C27A5" w:rsidRPr="00FF548B">
        <w:rPr>
          <w:i/>
        </w:rPr>
        <w:t>Markman</w:t>
      </w:r>
      <w:r w:rsidR="004C27A5">
        <w:t xml:space="preserve"> Hearing</w:t>
      </w:r>
      <w:r w:rsidR="008A16DE">
        <w:t>;</w:t>
      </w:r>
    </w:p>
    <w:p w14:paraId="00AE2353" w14:textId="0B08F434" w:rsidR="00F600D8" w:rsidRDefault="00F600D8" w:rsidP="00FF548B">
      <w:pPr>
        <w:pStyle w:val="ListParagraph"/>
        <w:widowControl w:val="0"/>
        <w:numPr>
          <w:ilvl w:val="1"/>
          <w:numId w:val="36"/>
        </w:numPr>
        <w:spacing w:after="240"/>
        <w:contextualSpacing w:val="0"/>
      </w:pPr>
      <w:r>
        <w:t>issues relating to claim construction</w:t>
      </w:r>
      <w:r w:rsidR="00AA5244">
        <w:t xml:space="preserve">, including </w:t>
      </w:r>
      <w:r>
        <w:t>whet</w:t>
      </w:r>
      <w:r w:rsidR="00FF5EAC">
        <w:t>h</w:t>
      </w:r>
      <w:r>
        <w:t>er a live tutorial wo</w:t>
      </w:r>
      <w:r w:rsidR="00AA5244">
        <w:t>uld be of benefit to the Court;</w:t>
      </w:r>
    </w:p>
    <w:p w14:paraId="7F3C95EF" w14:textId="39470A6D" w:rsidR="00AA5244" w:rsidRDefault="00F600D8" w:rsidP="00FF548B">
      <w:pPr>
        <w:pStyle w:val="ListParagraph"/>
        <w:widowControl w:val="0"/>
        <w:numPr>
          <w:ilvl w:val="1"/>
          <w:numId w:val="36"/>
        </w:numPr>
        <w:spacing w:after="240"/>
        <w:contextualSpacing w:val="0"/>
      </w:pPr>
      <w:r>
        <w:t xml:space="preserve">issues relating to </w:t>
      </w:r>
      <w:r w:rsidR="00922D0D">
        <w:t>discovery</w:t>
      </w:r>
      <w:r>
        <w:t>, including</w:t>
      </w:r>
      <w:r w:rsidR="008012A1">
        <w:t xml:space="preserve"> potential amendments to the Court’s default discovery limits</w:t>
      </w:r>
      <w:r w:rsidR="008A16DE">
        <w:t xml:space="preserve"> or Protective Order</w:t>
      </w:r>
      <w:r w:rsidR="00AA5244">
        <w:t>; and,</w:t>
      </w:r>
    </w:p>
    <w:p w14:paraId="3F7524D0" w14:textId="5037AE31" w:rsidR="005076DC" w:rsidRDefault="00AA5244" w:rsidP="00FF548B">
      <w:pPr>
        <w:pStyle w:val="ListParagraph"/>
        <w:widowControl w:val="0"/>
        <w:numPr>
          <w:ilvl w:val="1"/>
          <w:numId w:val="36"/>
        </w:numPr>
        <w:spacing w:after="240"/>
        <w:contextualSpacing w:val="0"/>
      </w:pPr>
      <w:r>
        <w:t>any other issues the parties believe would lead to the just, speedy and inexpensive determination of this action</w:t>
      </w:r>
      <w:r w:rsidR="008012A1">
        <w:t>.</w:t>
      </w:r>
      <w:r w:rsidR="007E5D19">
        <w:t xml:space="preserve">  </w:t>
      </w:r>
    </w:p>
    <w:p w14:paraId="0C12131C" w14:textId="65CA5CC7" w:rsidR="008012A1" w:rsidRDefault="00426D29" w:rsidP="007E5D19">
      <w:pPr>
        <w:pStyle w:val="ListParagraph"/>
        <w:widowControl w:val="0"/>
        <w:numPr>
          <w:ilvl w:val="0"/>
          <w:numId w:val="36"/>
        </w:numPr>
        <w:spacing w:before="240" w:after="240"/>
        <w:contextualSpacing w:val="0"/>
      </w:pPr>
      <w:r>
        <w:t>(</w:t>
      </w:r>
      <w:r w:rsidR="008A16DE">
        <w:t xml:space="preserve">Not later than 7 business days </w:t>
      </w:r>
      <w:r w:rsidR="008012A1">
        <w:t>before the CMC)</w:t>
      </w:r>
      <w:r w:rsidR="008A16DE">
        <w:t>.</w:t>
      </w:r>
      <w:r w:rsidR="008012A1">
        <w:t xml:space="preserve">  </w:t>
      </w:r>
      <w:r w:rsidR="007E5D19" w:rsidRPr="007E5D19">
        <w:t xml:space="preserve">Plaintiff </w:t>
      </w:r>
      <w:r w:rsidR="00CC0562">
        <w:t xml:space="preserve">shall </w:t>
      </w:r>
      <w:r w:rsidR="007E5D19" w:rsidRPr="007E5D19">
        <w:t xml:space="preserve">serve preliminary infringement contentions in the form of a chart setting forth where in the accused product(s) each element of the asserted claim(s) are found.  Plaintiff shall also </w:t>
      </w:r>
      <w:r w:rsidR="007D2CA0">
        <w:t xml:space="preserve">identify the </w:t>
      </w:r>
      <w:r w:rsidR="00A733A1">
        <w:t xml:space="preserve">priority date </w:t>
      </w:r>
      <w:r w:rsidR="007D2CA0">
        <w:t>(</w:t>
      </w:r>
      <w:r w:rsidR="007D2CA0" w:rsidRPr="007D2CA0">
        <w:rPr>
          <w:i/>
        </w:rPr>
        <w:t>i.e.</w:t>
      </w:r>
      <w:r w:rsidR="007D2CA0">
        <w:t xml:space="preserve"> the earliest date of invention) </w:t>
      </w:r>
      <w:r w:rsidR="00A733A1">
        <w:t xml:space="preserve">for each asserted claim and </w:t>
      </w:r>
      <w:r w:rsidR="007E5D19" w:rsidRPr="007E5D19">
        <w:t>produce</w:t>
      </w:r>
      <w:r w:rsidR="00CC0562">
        <w:t xml:space="preserve">: </w:t>
      </w:r>
      <w:r w:rsidR="007E5D19" w:rsidRPr="007E5D19">
        <w:t xml:space="preserve"> (1) all documents evidencing conception and reduction to practice for each claimed </w:t>
      </w:r>
      <w:r w:rsidR="007E5D19" w:rsidRPr="007E5D19">
        <w:lastRenderedPageBreak/>
        <w:t>invention, and (2) a copy of the file history for each patent in suit.</w:t>
      </w:r>
    </w:p>
    <w:p w14:paraId="2C73E0F4" w14:textId="02E4FA56" w:rsidR="003D7D9E" w:rsidRDefault="00516D37" w:rsidP="00033856">
      <w:pPr>
        <w:pStyle w:val="ListParagraph"/>
        <w:numPr>
          <w:ilvl w:val="0"/>
          <w:numId w:val="36"/>
        </w:numPr>
        <w:spacing w:after="240"/>
        <w:contextualSpacing w:val="0"/>
      </w:pPr>
      <w:r>
        <w:t>(</w:t>
      </w:r>
      <w:r w:rsidR="00397B04">
        <w:t xml:space="preserve">Not later than </w:t>
      </w:r>
      <w:r w:rsidR="00071206">
        <w:t>3</w:t>
      </w:r>
      <w:r w:rsidR="003D7D9E">
        <w:t xml:space="preserve"> business days before the CMC)</w:t>
      </w:r>
      <w:r w:rsidR="008A16DE">
        <w:t>.</w:t>
      </w:r>
      <w:r w:rsidR="003D7D9E">
        <w:t xml:space="preserve">  Lead counsel for each party shall meet and confer (either in person or by telephone), to discuss whether the</w:t>
      </w:r>
      <w:r w:rsidR="007E5D19">
        <w:t xml:space="preserve">y believe the </w:t>
      </w:r>
      <w:r w:rsidR="003D7D9E">
        <w:t xml:space="preserve">Court’s default Scheduling Order and default Discovery Limits are appropriate for this case, and any issues relating to the management of this case </w:t>
      </w:r>
      <w:r w:rsidR="00B555A5">
        <w:t>they intend to raise at the CMC.</w:t>
      </w:r>
    </w:p>
    <w:p w14:paraId="7489CAED" w14:textId="688AAF36" w:rsidR="00EC6E3E" w:rsidRDefault="00EC6E3E" w:rsidP="00CC0562">
      <w:pPr>
        <w:pStyle w:val="ListParagraph"/>
        <w:numPr>
          <w:ilvl w:val="0"/>
          <w:numId w:val="36"/>
        </w:numPr>
      </w:pPr>
      <w:r>
        <w:t>(</w:t>
      </w:r>
      <w:r w:rsidR="008A16DE">
        <w:t>Two weeks</w:t>
      </w:r>
      <w:r>
        <w:t xml:space="preserve"> after the CMC)</w:t>
      </w:r>
      <w:r w:rsidR="008A16DE">
        <w:t>.</w:t>
      </w:r>
      <w:r>
        <w:t xml:space="preserve">  </w:t>
      </w:r>
      <w:r w:rsidR="003D7D9E">
        <w:t xml:space="preserve">The </w:t>
      </w:r>
      <w:r>
        <w:t xml:space="preserve">Parties </w:t>
      </w:r>
      <w:r w:rsidR="003D7D9E">
        <w:t xml:space="preserve">shall </w:t>
      </w:r>
      <w:r>
        <w:t>submit an agreed Scheduling Order</w:t>
      </w:r>
      <w:r w:rsidR="00516D37">
        <w:t xml:space="preserve">. </w:t>
      </w:r>
      <w:r w:rsidR="003D7D9E">
        <w:t xml:space="preserve"> If the parties cannot agree, the parties shall submit a separate Joint Motion for entry of each Order briefly setting forth their respective positions on items where they cannot agree.</w:t>
      </w:r>
      <w:r w:rsidR="00CC0562">
        <w:t xml:space="preserve">  </w:t>
      </w:r>
      <w:r w:rsidR="00CC0562" w:rsidRPr="00CC0562">
        <w:t>Absent agreement of the parties, the Plaintiff shall be responsible for the timely submission of this and other Joint filings</w:t>
      </w:r>
      <w:r w:rsidR="00CC0562">
        <w:t>.</w:t>
      </w:r>
    </w:p>
    <w:p w14:paraId="71EF2654" w14:textId="1285DAF1" w:rsidR="008012A1" w:rsidRDefault="007E5D19" w:rsidP="00CE365D">
      <w:pPr>
        <w:pStyle w:val="ListParagraph"/>
        <w:numPr>
          <w:ilvl w:val="0"/>
          <w:numId w:val="36"/>
        </w:numPr>
        <w:spacing w:before="240" w:after="240"/>
        <w:contextualSpacing w:val="0"/>
      </w:pPr>
      <w:r>
        <w:t>(</w:t>
      </w:r>
      <w:r w:rsidR="00686AA6">
        <w:t>Seven</w:t>
      </w:r>
      <w:r>
        <w:t xml:space="preserve"> weeks after the CMC</w:t>
      </w:r>
      <w:r w:rsidR="008012A1">
        <w:t>)</w:t>
      </w:r>
      <w:r w:rsidR="0049448D">
        <w:t>.</w:t>
      </w:r>
      <w:r w:rsidR="008012A1">
        <w:t xml:space="preserve">  </w:t>
      </w:r>
      <w:r w:rsidRPr="007E5D19">
        <w:t xml:space="preserve">Defendant </w:t>
      </w:r>
      <w:r w:rsidR="00CC0562">
        <w:t>shall serve</w:t>
      </w:r>
      <w:r w:rsidRPr="007E5D19">
        <w:t xml:space="preserve"> preliminary invalidity contentions in the form of </w:t>
      </w:r>
      <w:r w:rsidR="00A41352">
        <w:t xml:space="preserve">(1) </w:t>
      </w:r>
      <w:r w:rsidRPr="007E5D19">
        <w:t>a chart setting forth where in the prior art references each element of the asserted claim(s) are found</w:t>
      </w:r>
      <w:r w:rsidR="00A41352" w:rsidRPr="00A41352">
        <w:t>, (2) an identification of any limitations the Defendant contends are indefinite or lack written description under section 112, and (3) an identification of any claims the Defendant contends are directed to ineligible subject matter under section 101</w:t>
      </w:r>
      <w:r w:rsidRPr="007E5D19">
        <w:t>.</w:t>
      </w:r>
      <w:r w:rsidR="00686AA6">
        <w:t xml:space="preserve"> </w:t>
      </w:r>
      <w:r w:rsidR="00686AA6" w:rsidRPr="00686AA6">
        <w:t xml:space="preserve"> Defendant shall also produce (1) all prior art referenced in the invalidity contentions, (2) technical documents, including software where applicable, sufficient to show the operation of the accused product(s), and (3) summary, annual sales information for the accused product(s) for the prior two years, unless the parties agree to some other timeframe.</w:t>
      </w:r>
      <w:r w:rsidR="00686AA6" w:rsidRPr="007E5D19" w:rsidDel="00686AA6">
        <w:t xml:space="preserve"> </w:t>
      </w:r>
    </w:p>
    <w:p w14:paraId="7E9E4E63" w14:textId="77777777" w:rsidR="00AF405F" w:rsidRPr="00033856" w:rsidRDefault="00AF405F" w:rsidP="00AF405F">
      <w:pPr>
        <w:jc w:val="center"/>
        <w:rPr>
          <w:b/>
          <w:u w:val="single"/>
        </w:rPr>
      </w:pPr>
      <w:r w:rsidRPr="00033856">
        <w:rPr>
          <w:b/>
          <w:u w:val="single"/>
        </w:rPr>
        <w:t>DISCOVERY</w:t>
      </w:r>
    </w:p>
    <w:p w14:paraId="1A321F22" w14:textId="77777777" w:rsidR="00AF405F" w:rsidRDefault="00AF405F" w:rsidP="00AF405F">
      <w:pPr>
        <w:jc w:val="center"/>
      </w:pPr>
    </w:p>
    <w:p w14:paraId="0FE115E0" w14:textId="77777777" w:rsidR="00CB5A61" w:rsidRDefault="00AF405F" w:rsidP="00AF405F">
      <w:r>
        <w:t>Except with regard to discovery necessary for claim construction</w:t>
      </w:r>
      <w:r w:rsidR="00551292">
        <w:t>,</w:t>
      </w:r>
      <w:r>
        <w:t xml:space="preserve"> all other discovery is stayed until after the </w:t>
      </w:r>
      <w:r w:rsidRPr="00CC0562">
        <w:rPr>
          <w:i/>
        </w:rPr>
        <w:t>Markman</w:t>
      </w:r>
      <w:r>
        <w:t xml:space="preserve"> hearing.  </w:t>
      </w:r>
      <w:r w:rsidR="00CB5A61">
        <w:t>Notwi</w:t>
      </w:r>
      <w:r w:rsidR="00A37703">
        <w:t>thstanding this</w:t>
      </w:r>
      <w:r w:rsidR="00CB5A61">
        <w:t xml:space="preserve"> general stay of discovery, the Court will permit limited discovery by agreement of the parties, or upon request, where exceptional circumstances warrant.</w:t>
      </w:r>
      <w:r w:rsidR="00922D0D">
        <w:t xml:space="preserve">  </w:t>
      </w:r>
    </w:p>
    <w:p w14:paraId="4910E088" w14:textId="77777777" w:rsidR="00CB5A61" w:rsidRDefault="00CB5A61" w:rsidP="00AF405F"/>
    <w:p w14:paraId="2782970D" w14:textId="77777777" w:rsidR="003D7D9E" w:rsidRDefault="003D7D9E" w:rsidP="00AF405F">
      <w:r>
        <w:t xml:space="preserve">Following the </w:t>
      </w:r>
      <w:r w:rsidRPr="00CC0562">
        <w:rPr>
          <w:i/>
        </w:rPr>
        <w:t>Mark</w:t>
      </w:r>
      <w:r w:rsidR="00CD3335" w:rsidRPr="00CC0562">
        <w:rPr>
          <w:i/>
        </w:rPr>
        <w:t>man</w:t>
      </w:r>
      <w:r w:rsidR="00CD3335">
        <w:t xml:space="preserve"> hearing</w:t>
      </w:r>
      <w:r>
        <w:t xml:space="preserve">, the following discovery limits </w:t>
      </w:r>
      <w:r w:rsidR="00426D29">
        <w:t xml:space="preserve">will </w:t>
      </w:r>
      <w:r>
        <w:t>apply to this case</w:t>
      </w:r>
      <w:r w:rsidR="00CB5A61">
        <w:t>.  The C</w:t>
      </w:r>
      <w:r w:rsidR="00914125">
        <w:t>ourt will consider</w:t>
      </w:r>
      <w:r w:rsidR="00CB5A61">
        <w:t xml:space="preserve"> reasonable requests to increase these limits should circumstances warrant.</w:t>
      </w:r>
    </w:p>
    <w:p w14:paraId="57E998CD" w14:textId="77777777" w:rsidR="003D7D9E" w:rsidRDefault="003D7D9E" w:rsidP="00AF405F"/>
    <w:p w14:paraId="3797CA76" w14:textId="77777777" w:rsidR="00AF405F" w:rsidRDefault="00CB5A61" w:rsidP="00B82A65">
      <w:pPr>
        <w:pStyle w:val="ListParagraph"/>
        <w:numPr>
          <w:ilvl w:val="0"/>
          <w:numId w:val="37"/>
        </w:numPr>
        <w:spacing w:after="80"/>
        <w:ind w:left="778"/>
        <w:contextualSpacing w:val="0"/>
      </w:pPr>
      <w:r>
        <w:t>Interrogatories:  30 per side</w:t>
      </w:r>
    </w:p>
    <w:p w14:paraId="553EF07A" w14:textId="75D85FD7" w:rsidR="00CB5A61" w:rsidRDefault="00CB5A61" w:rsidP="00B82A65">
      <w:pPr>
        <w:pStyle w:val="ListParagraph"/>
        <w:numPr>
          <w:ilvl w:val="0"/>
          <w:numId w:val="37"/>
        </w:numPr>
        <w:spacing w:after="80"/>
        <w:ind w:left="778"/>
        <w:contextualSpacing w:val="0"/>
      </w:pPr>
      <w:r>
        <w:t xml:space="preserve">Requests for </w:t>
      </w:r>
      <w:r w:rsidR="00934E5C">
        <w:t>Admission</w:t>
      </w:r>
      <w:r>
        <w:t>:  45 per side</w:t>
      </w:r>
    </w:p>
    <w:p w14:paraId="6A9C4977" w14:textId="77777777" w:rsidR="00CB5A61" w:rsidRDefault="00CB5A61" w:rsidP="00B82A65">
      <w:pPr>
        <w:pStyle w:val="ListParagraph"/>
        <w:numPr>
          <w:ilvl w:val="0"/>
          <w:numId w:val="37"/>
        </w:numPr>
        <w:spacing w:after="80"/>
        <w:ind w:left="778"/>
        <w:contextualSpacing w:val="0"/>
      </w:pPr>
      <w:r>
        <w:t>Requests for Production:  75 per side</w:t>
      </w:r>
    </w:p>
    <w:p w14:paraId="08BB4F92" w14:textId="77777777" w:rsidR="00CB5A61" w:rsidRDefault="00CB5A61" w:rsidP="00B82A65">
      <w:pPr>
        <w:pStyle w:val="ListParagraph"/>
        <w:numPr>
          <w:ilvl w:val="0"/>
          <w:numId w:val="37"/>
        </w:numPr>
        <w:spacing w:after="80"/>
        <w:ind w:left="778"/>
        <w:contextualSpacing w:val="0"/>
      </w:pPr>
      <w:r>
        <w:t>Fact Depositions:  70 hours per side</w:t>
      </w:r>
      <w:r w:rsidR="00B555A5">
        <w:t xml:space="preserve"> (for both party and non-party witnesses combined)</w:t>
      </w:r>
    </w:p>
    <w:p w14:paraId="14E858C0" w14:textId="77777777" w:rsidR="00CB5A61" w:rsidRDefault="00CB5A61" w:rsidP="00B82A65">
      <w:pPr>
        <w:pStyle w:val="ListParagraph"/>
        <w:numPr>
          <w:ilvl w:val="0"/>
          <w:numId w:val="37"/>
        </w:numPr>
        <w:spacing w:after="80"/>
        <w:ind w:left="778"/>
        <w:contextualSpacing w:val="0"/>
      </w:pPr>
      <w:r>
        <w:t xml:space="preserve">Expert Depositions:  7 hours per </w:t>
      </w:r>
      <w:r w:rsidR="00A37703">
        <w:t>report</w:t>
      </w:r>
      <w:r w:rsidR="00A37703">
        <w:rPr>
          <w:rStyle w:val="FootnoteReference"/>
        </w:rPr>
        <w:footnoteReference w:id="2"/>
      </w:r>
    </w:p>
    <w:p w14:paraId="30A186E2" w14:textId="77777777" w:rsidR="00CB5A61" w:rsidRDefault="00CB5A61" w:rsidP="00CB5A61"/>
    <w:p w14:paraId="3FC04A5E" w14:textId="77777777" w:rsidR="00CB5A61" w:rsidRDefault="00CB5A61" w:rsidP="00CB5A61">
      <w:r w:rsidRPr="00CB5A61">
        <w:rPr>
          <w:b/>
          <w:u w:val="single"/>
        </w:rPr>
        <w:t>Electronically Stored Information</w:t>
      </w:r>
      <w:r>
        <w:t xml:space="preserve">.  </w:t>
      </w:r>
      <w:r w:rsidRPr="00CB5A61">
        <w:t>As a preliminary matter, the Court will not require general search and production of email</w:t>
      </w:r>
      <w:r w:rsidR="00922D0D">
        <w:t xml:space="preserve"> or other electronically stored information (ESI)</w:t>
      </w:r>
      <w:r w:rsidRPr="00CB5A61">
        <w:t>, absent a showing of good cause.  If a party believes targeted email</w:t>
      </w:r>
      <w:r w:rsidR="00922D0D">
        <w:t>/ESI</w:t>
      </w:r>
      <w:r w:rsidRPr="00CB5A61">
        <w:t xml:space="preserve"> discovery is necessary, it shall propose a </w:t>
      </w:r>
      <w:r w:rsidRPr="00CB5A61">
        <w:lastRenderedPageBreak/>
        <w:t>procedure identifying custodians and search terms it believes the opposing party should search.  The opposing party can oppose</w:t>
      </w:r>
      <w:r>
        <w:t>,</w:t>
      </w:r>
      <w:r w:rsidRPr="00CB5A61">
        <w:t xml:space="preserve"> or propose an alternate plan</w:t>
      </w:r>
      <w:r>
        <w:t>.</w:t>
      </w:r>
      <w:r w:rsidR="00922D0D">
        <w:t xml:space="preserve">  If the parties cannot agree, they shall contact chambers to schedule a call with the Court</w:t>
      </w:r>
      <w:r w:rsidR="00426D29">
        <w:t xml:space="preserve"> to discuss their respective positions</w:t>
      </w:r>
      <w:r w:rsidR="00922D0D">
        <w:t>.</w:t>
      </w:r>
    </w:p>
    <w:p w14:paraId="4EF1CFD0" w14:textId="77777777" w:rsidR="00CB5A61" w:rsidRDefault="00CB5A61" w:rsidP="00CB5A61"/>
    <w:p w14:paraId="2DBE4C55" w14:textId="77777777" w:rsidR="00CB5A61" w:rsidRPr="00033856" w:rsidRDefault="00CB5A61" w:rsidP="00CB5A61">
      <w:pPr>
        <w:jc w:val="center"/>
        <w:rPr>
          <w:b/>
          <w:u w:val="single"/>
        </w:rPr>
      </w:pPr>
      <w:r w:rsidRPr="00033856">
        <w:rPr>
          <w:b/>
          <w:u w:val="single"/>
        </w:rPr>
        <w:t>DISCOVERY DISPUTES</w:t>
      </w:r>
    </w:p>
    <w:p w14:paraId="788336B0" w14:textId="77777777" w:rsidR="00CB5A61" w:rsidRDefault="00CB5A61" w:rsidP="00CB5A61">
      <w:pPr>
        <w:jc w:val="center"/>
      </w:pPr>
    </w:p>
    <w:p w14:paraId="5CD5E7A9" w14:textId="77777777" w:rsidR="00CB5A61" w:rsidRDefault="00CB5A61" w:rsidP="00CB5A61">
      <w:r w:rsidRPr="00CB5A61">
        <w:t>A party may not file a Moti</w:t>
      </w:r>
      <w:r>
        <w:t xml:space="preserve">on to Compel discovery unless: </w:t>
      </w:r>
      <w:r w:rsidRPr="00CB5A61">
        <w:t xml:space="preserve">(1) lead counsel have met and conferred in good faith to try to resolve the dispute, and (2) the party has contacted the Court (with opposing counsel) to arrange a telephone conference to summarize the dispute and the parties respective positions.  After hearing from the parties, the Court will determine if further briefing is </w:t>
      </w:r>
      <w:r>
        <w:t>re</w:t>
      </w:r>
      <w:r w:rsidRPr="00CB5A61">
        <w:t>quired.</w:t>
      </w:r>
    </w:p>
    <w:p w14:paraId="152523A0" w14:textId="77777777" w:rsidR="00CB5A61" w:rsidRPr="00033856" w:rsidRDefault="00CB5A61" w:rsidP="00CB5A61">
      <w:pPr>
        <w:rPr>
          <w:b/>
          <w:u w:val="single"/>
        </w:rPr>
      </w:pPr>
    </w:p>
    <w:p w14:paraId="055D1BC6" w14:textId="3C65F6CD" w:rsidR="00C5118D" w:rsidRDefault="00922D0D" w:rsidP="003B056C">
      <w:pPr>
        <w:jc w:val="center"/>
        <w:rPr>
          <w:b/>
          <w:u w:val="single"/>
        </w:rPr>
      </w:pPr>
      <w:r w:rsidRPr="00033856">
        <w:rPr>
          <w:b/>
          <w:u w:val="single"/>
        </w:rPr>
        <w:t>PROTECTIVE ORDER</w:t>
      </w:r>
    </w:p>
    <w:p w14:paraId="52CE939D" w14:textId="77777777" w:rsidR="003B056C" w:rsidRPr="003B056C" w:rsidRDefault="003B056C" w:rsidP="003B056C">
      <w:pPr>
        <w:jc w:val="center"/>
        <w:rPr>
          <w:b/>
          <w:u w:val="single"/>
        </w:rPr>
      </w:pPr>
    </w:p>
    <w:p w14:paraId="5FFF2E67" w14:textId="77777777" w:rsidR="00C5118D" w:rsidRDefault="00C5118D" w:rsidP="00A37703">
      <w:r>
        <w:t>Pending entry of the final Protective Order, the Court issues the following interim Protect</w:t>
      </w:r>
      <w:r w:rsidR="0045686D">
        <w:t>ive Order to govern the disclosure</w:t>
      </w:r>
      <w:r>
        <w:t xml:space="preserve"> of confidential information</w:t>
      </w:r>
      <w:r w:rsidR="00AB0EA9">
        <w:t xml:space="preserve"> in this matter</w:t>
      </w:r>
      <w:r>
        <w:t>:</w:t>
      </w:r>
    </w:p>
    <w:p w14:paraId="5BA41D74" w14:textId="77777777" w:rsidR="00750F94" w:rsidRDefault="00750F94" w:rsidP="00A37703"/>
    <w:p w14:paraId="420AC488" w14:textId="023CE6BF" w:rsidR="00C5118D" w:rsidRDefault="00AA6A1A" w:rsidP="00CC0562">
      <w:pPr>
        <w:ind w:left="720"/>
      </w:pPr>
      <w:r>
        <w:t xml:space="preserve">If any document or information produced </w:t>
      </w:r>
      <w:r w:rsidR="00516D37">
        <w:t xml:space="preserve">in this matter </w:t>
      </w:r>
      <w:r>
        <w:t xml:space="preserve">is deemed confidential by the producing party and if the Court has not entered a protective order, until a protective order is issued by the Court, the document shall be marked “confidential” or with some other confidential designation (such as </w:t>
      </w:r>
      <w:r w:rsidR="00332F8B">
        <w:t>“</w:t>
      </w:r>
      <w:r>
        <w:t>Confidential – Outside Attorneys Eyes Only”) by the disclosing party and disclosure of the confidential document or information shall be limited to each party’s outside attorney(s) of record and the employees of such outside attorney(s).</w:t>
      </w:r>
    </w:p>
    <w:p w14:paraId="322263A2" w14:textId="77777777" w:rsidR="00AA6A1A" w:rsidRDefault="00AA6A1A" w:rsidP="00CC0562">
      <w:pPr>
        <w:ind w:left="720"/>
      </w:pPr>
    </w:p>
    <w:p w14:paraId="6C55099A" w14:textId="77777777" w:rsidR="00AA6A1A" w:rsidRDefault="00AA6A1A" w:rsidP="00CC0562">
      <w:pPr>
        <w:ind w:left="720"/>
      </w:pPr>
      <w:r>
        <w:t>If a party is not represented by an outside attorney, disclosure of the confidential document or information shall be limited to one designated “in house” attorney, whose identity and job functions shall be disclosed to the producing party 5 days prior to any such disclosure, in order to permit any motion for protective order or other relief regarding such disclosure.  The person(s) to whom disclosure of a confidential document or information is made under this local rule shall keep it confidential and use it only for purposes of litigating the case.</w:t>
      </w:r>
    </w:p>
    <w:p w14:paraId="155E4B4A" w14:textId="77777777" w:rsidR="00A37703" w:rsidRDefault="00A37703" w:rsidP="00A37703"/>
    <w:p w14:paraId="5D7B108D" w14:textId="77777777" w:rsidR="00A37703" w:rsidRPr="00AA6A1A" w:rsidRDefault="00A37703" w:rsidP="00922D0D">
      <w:pPr>
        <w:jc w:val="center"/>
        <w:rPr>
          <w:b/>
          <w:u w:val="single"/>
        </w:rPr>
      </w:pPr>
      <w:r w:rsidRPr="00AA6A1A">
        <w:rPr>
          <w:b/>
          <w:u w:val="single"/>
        </w:rPr>
        <w:t>CLAIM CONSTRUCTION ISSUES</w:t>
      </w:r>
    </w:p>
    <w:p w14:paraId="5536D3AD" w14:textId="77777777" w:rsidR="00A37703" w:rsidRDefault="00A37703" w:rsidP="00922D0D">
      <w:pPr>
        <w:jc w:val="center"/>
      </w:pPr>
    </w:p>
    <w:p w14:paraId="3363879D" w14:textId="77777777" w:rsidR="00CB5A61" w:rsidRDefault="002B4BE0" w:rsidP="00CB5A61">
      <w:r w:rsidRPr="002B4BE0">
        <w:rPr>
          <w:b/>
          <w:u w:val="single"/>
        </w:rPr>
        <w:t>Terms for Construction</w:t>
      </w:r>
      <w:r>
        <w:t xml:space="preserve">.  </w:t>
      </w:r>
      <w:r w:rsidR="00A37703">
        <w:t xml:space="preserve">The Court does not have a specific limit on the number of asserted claims or claim terms to be construed; however, the Court encourages the parties to focus on their top ten claim terms in order of importance.  </w:t>
      </w:r>
      <w:r>
        <w:t xml:space="preserve">In cases with an unusually large number of patents or asserted claims, the Court may revisit this topic and will be open to suggestions from the parties. </w:t>
      </w:r>
    </w:p>
    <w:p w14:paraId="0C565DDE" w14:textId="77777777" w:rsidR="002B4BE0" w:rsidRDefault="002B4BE0" w:rsidP="00CB5A61"/>
    <w:p w14:paraId="685BBA3B" w14:textId="77777777" w:rsidR="002B4BE0" w:rsidRDefault="002B4BE0" w:rsidP="00CB5A61">
      <w:r w:rsidRPr="002B4BE0">
        <w:rPr>
          <w:b/>
          <w:u w:val="single"/>
        </w:rPr>
        <w:t>Claim Construction Briefing</w:t>
      </w:r>
      <w:r>
        <w:t>.  The Court will require simultaneous claim construction briefing with the following default page limits; however, the Court will entertain reasonable requests to increase the limits should circumstances warrant:</w:t>
      </w:r>
    </w:p>
    <w:p w14:paraId="22044632" w14:textId="77777777" w:rsidR="002B4BE0" w:rsidRDefault="002B4BE0" w:rsidP="00CB5A61"/>
    <w:p w14:paraId="1905C10F" w14:textId="77777777" w:rsidR="002B4BE0" w:rsidRDefault="002B4BE0" w:rsidP="00B82A65">
      <w:pPr>
        <w:pStyle w:val="ListParagraph"/>
        <w:numPr>
          <w:ilvl w:val="0"/>
          <w:numId w:val="39"/>
        </w:numPr>
        <w:spacing w:after="80"/>
        <w:contextualSpacing w:val="0"/>
      </w:pPr>
      <w:r>
        <w:t>Opening Briefs – 30 pages</w:t>
      </w:r>
    </w:p>
    <w:p w14:paraId="0CCC2E93" w14:textId="77777777" w:rsidR="002B4BE0" w:rsidRDefault="002B4BE0" w:rsidP="00B82A65">
      <w:pPr>
        <w:pStyle w:val="ListParagraph"/>
        <w:numPr>
          <w:ilvl w:val="0"/>
          <w:numId w:val="39"/>
        </w:numPr>
        <w:spacing w:after="80"/>
        <w:contextualSpacing w:val="0"/>
      </w:pPr>
      <w:r>
        <w:lastRenderedPageBreak/>
        <w:t>Responsive Briefs –</w:t>
      </w:r>
      <w:r w:rsidR="00B555A5">
        <w:t xml:space="preserve"> 30</w:t>
      </w:r>
      <w:r>
        <w:t xml:space="preserve"> pages</w:t>
      </w:r>
    </w:p>
    <w:p w14:paraId="102373E1" w14:textId="77777777" w:rsidR="002B4BE0" w:rsidRDefault="002B4BE0" w:rsidP="00B82A65">
      <w:pPr>
        <w:pStyle w:val="ListParagraph"/>
        <w:numPr>
          <w:ilvl w:val="0"/>
          <w:numId w:val="39"/>
        </w:numPr>
        <w:spacing w:after="80"/>
        <w:contextualSpacing w:val="0"/>
      </w:pPr>
      <w:r>
        <w:t>Reply Briefs –</w:t>
      </w:r>
      <w:r w:rsidR="00B555A5">
        <w:t xml:space="preserve"> 15</w:t>
      </w:r>
      <w:r>
        <w:t xml:space="preserve"> pages</w:t>
      </w:r>
    </w:p>
    <w:p w14:paraId="3B21343D" w14:textId="77777777" w:rsidR="00E74993" w:rsidRDefault="00E74993" w:rsidP="00E74993"/>
    <w:p w14:paraId="03DDD62A" w14:textId="77777777" w:rsidR="00E74993" w:rsidRDefault="00E74993" w:rsidP="00E74993">
      <w:r>
        <w:t>Unless otherwise agreed by the parties, all simultaneous filings will take place at 5:00 p.m</w:t>
      </w:r>
      <w:r w:rsidR="00914125">
        <w:t>.</w:t>
      </w:r>
      <w:r>
        <w:t xml:space="preserve"> CT.</w:t>
      </w:r>
    </w:p>
    <w:p w14:paraId="706DC01A" w14:textId="77777777" w:rsidR="002B4BE0" w:rsidRDefault="002B4BE0" w:rsidP="002B4BE0"/>
    <w:p w14:paraId="3EE74DD4" w14:textId="06397A09" w:rsidR="00B82A65" w:rsidRDefault="004B331A" w:rsidP="004B331A">
      <w:r>
        <w:rPr>
          <w:b/>
          <w:bCs/>
          <w:color w:val="000000"/>
          <w:u w:val="single"/>
        </w:rPr>
        <w:t>Conduct of the Markman Hearing</w:t>
      </w:r>
      <w:r>
        <w:rPr>
          <w:color w:val="000000"/>
        </w:rPr>
        <w:t xml:space="preserve">. The Court intends to set aside one </w:t>
      </w:r>
      <w:r w:rsidR="00F600D8">
        <w:rPr>
          <w:color w:val="000000"/>
        </w:rPr>
        <w:t>half</w:t>
      </w:r>
      <w:r>
        <w:rPr>
          <w:color w:val="000000"/>
        </w:rPr>
        <w:t xml:space="preserve"> day for the </w:t>
      </w:r>
      <w:r>
        <w:rPr>
          <w:i/>
          <w:iCs/>
          <w:color w:val="000000"/>
        </w:rPr>
        <w:t>Markman</w:t>
      </w:r>
      <w:r>
        <w:rPr>
          <w:color w:val="000000"/>
        </w:rPr>
        <w:t xml:space="preserve"> hearing; however, the Court is open to reserving more or less time, depending on the complexity of the case and input from the parties. </w:t>
      </w:r>
      <w:r w:rsidR="00F600D8">
        <w:rPr>
          <w:color w:val="000000"/>
        </w:rPr>
        <w:t xml:space="preserve"> </w:t>
      </w:r>
      <w:r w:rsidRPr="000A4152">
        <w:rPr>
          <w:bCs/>
          <w:color w:val="000000"/>
        </w:rPr>
        <w:t xml:space="preserve">The Court </w:t>
      </w:r>
      <w:r w:rsidR="00F600D8">
        <w:rPr>
          <w:bCs/>
          <w:color w:val="000000"/>
        </w:rPr>
        <w:t xml:space="preserve">is open to the presentation of </w:t>
      </w:r>
      <w:r w:rsidRPr="000A4152">
        <w:rPr>
          <w:bCs/>
          <w:color w:val="000000"/>
        </w:rPr>
        <w:t>live technology tutorials</w:t>
      </w:r>
      <w:r w:rsidR="00F600D8">
        <w:rPr>
          <w:bCs/>
          <w:color w:val="000000"/>
        </w:rPr>
        <w:t xml:space="preserve"> when they may be of benefit</w:t>
      </w:r>
      <w:r w:rsidRPr="000A4152">
        <w:rPr>
          <w:bCs/>
          <w:color w:val="000000"/>
        </w:rPr>
        <w:t xml:space="preserve">. </w:t>
      </w:r>
      <w:r w:rsidR="00F600D8">
        <w:rPr>
          <w:bCs/>
          <w:color w:val="000000"/>
        </w:rPr>
        <w:t xml:space="preserve"> </w:t>
      </w:r>
      <w:r w:rsidRPr="000A4152">
        <w:rPr>
          <w:color w:val="000000"/>
        </w:rPr>
        <w:t xml:space="preserve">The Court will consider the parties suggestions on the order of argument at the Markman hearing. </w:t>
      </w:r>
      <w:r w:rsidR="00F600D8">
        <w:rPr>
          <w:color w:val="000000"/>
        </w:rPr>
        <w:t xml:space="preserve"> </w:t>
      </w:r>
      <w:r w:rsidRPr="000A4152">
        <w:rPr>
          <w:color w:val="000000"/>
        </w:rPr>
        <w:t>However, if the par</w:t>
      </w:r>
      <w:r>
        <w:rPr>
          <w:color w:val="000000"/>
        </w:rPr>
        <w:t xml:space="preserve">ties do not suggest a different procedure, the Court will allow the Plaintiff to pick the first term and then alternate by term. </w:t>
      </w:r>
      <w:r w:rsidR="00F600D8">
        <w:rPr>
          <w:color w:val="000000"/>
        </w:rPr>
        <w:t xml:space="preserve"> </w:t>
      </w:r>
      <w:r>
        <w:rPr>
          <w:color w:val="000000"/>
        </w:rPr>
        <w:t>As a general rule, if one side proposes “plain and ordinary meaning” a</w:t>
      </w:r>
      <w:r w:rsidR="00F600D8">
        <w:rPr>
          <w:color w:val="000000"/>
        </w:rPr>
        <w:t>s</w:t>
      </w:r>
      <w:r>
        <w:rPr>
          <w:color w:val="000000"/>
        </w:rPr>
        <w:t xml:space="preserve"> its construction</w:t>
      </w:r>
      <w:r w:rsidR="0002141E">
        <w:rPr>
          <w:color w:val="000000"/>
        </w:rPr>
        <w:t xml:space="preserve"> or asserts</w:t>
      </w:r>
      <w:r w:rsidR="00F600D8">
        <w:rPr>
          <w:color w:val="000000"/>
        </w:rPr>
        <w:t xml:space="preserve"> that a term is indefinite</w:t>
      </w:r>
      <w:r>
        <w:rPr>
          <w:color w:val="000000"/>
        </w:rPr>
        <w:t xml:space="preserve">, the other party </w:t>
      </w:r>
      <w:r w:rsidR="00F600D8">
        <w:rPr>
          <w:color w:val="000000"/>
        </w:rPr>
        <w:t>shall</w:t>
      </w:r>
      <w:r>
        <w:rPr>
          <w:color w:val="000000"/>
        </w:rPr>
        <w:t xml:space="preserve"> go first. </w:t>
      </w:r>
      <w:r>
        <w:rPr>
          <w:rFonts w:ascii="Tms Rmn" w:hAnsi="Tms Rmn" w:cs="Tms Rmn"/>
          <w:color w:val="000000"/>
        </w:rPr>
        <w:br/>
      </w:r>
    </w:p>
    <w:p w14:paraId="4AA191C9" w14:textId="77777777" w:rsidR="00551292" w:rsidRPr="00B51A67" w:rsidRDefault="00551292" w:rsidP="00551292">
      <w:pPr>
        <w:jc w:val="center"/>
        <w:rPr>
          <w:b/>
          <w:u w:val="single"/>
        </w:rPr>
      </w:pPr>
      <w:r w:rsidRPr="00B51A67">
        <w:rPr>
          <w:b/>
          <w:u w:val="single"/>
        </w:rPr>
        <w:t>GENERAL ISSUES</w:t>
      </w:r>
    </w:p>
    <w:p w14:paraId="3362A8B5" w14:textId="77777777" w:rsidR="00551292" w:rsidRDefault="00551292" w:rsidP="00551292">
      <w:pPr>
        <w:jc w:val="center"/>
      </w:pPr>
    </w:p>
    <w:p w14:paraId="6C53EA73" w14:textId="3D7273A0" w:rsidR="00CD3335" w:rsidRDefault="00CD3335" w:rsidP="00B51A67">
      <w:pPr>
        <w:pStyle w:val="ListParagraph"/>
        <w:numPr>
          <w:ilvl w:val="0"/>
          <w:numId w:val="40"/>
        </w:numPr>
        <w:spacing w:after="240"/>
        <w:contextualSpacing w:val="0"/>
      </w:pPr>
      <w:r>
        <w:t xml:space="preserve">The Court does not have a limit on the number of motions for summary judgment (MSJs); however, </w:t>
      </w:r>
      <w:r w:rsidR="00BF1B05">
        <w:t xml:space="preserve">absent leave of Court, </w:t>
      </w:r>
      <w:r>
        <w:t xml:space="preserve">the cumulative page limit for Opening Briefs for all </w:t>
      </w:r>
      <w:r w:rsidR="00AB0EA9">
        <w:t>MSJs is 50</w:t>
      </w:r>
      <w:r>
        <w:t xml:space="preserve"> pages per side.</w:t>
      </w:r>
    </w:p>
    <w:p w14:paraId="6A5640AD" w14:textId="41D9CDDA" w:rsidR="00551292" w:rsidRDefault="00551292" w:rsidP="00B51A67">
      <w:pPr>
        <w:pStyle w:val="ListParagraph"/>
        <w:numPr>
          <w:ilvl w:val="0"/>
          <w:numId w:val="40"/>
        </w:numPr>
        <w:spacing w:after="240"/>
        <w:contextualSpacing w:val="0"/>
      </w:pPr>
      <w:r>
        <w:t xml:space="preserve">The Court encourages the submission of briefs longer than 10 pages via audio file so that the Court can listen to the arguments.  </w:t>
      </w:r>
      <w:r w:rsidR="00BF1B05">
        <w:t>The Court considers the submission of audio files particular</w:t>
      </w:r>
      <w:r w:rsidR="00FF5EAC">
        <w:t>l</w:t>
      </w:r>
      <w:r w:rsidR="00BF1B05">
        <w:t xml:space="preserve">y useful with regard to claim construction briefing.  </w:t>
      </w:r>
      <w:r>
        <w:t xml:space="preserve">The recordings shall be </w:t>
      </w:r>
      <w:r w:rsidR="00AB0EA9">
        <w:t xml:space="preserve">made in a </w:t>
      </w:r>
      <w:r w:rsidR="00CD3335">
        <w:t xml:space="preserve">neutral </w:t>
      </w:r>
      <w:r w:rsidR="00AB0EA9">
        <w:t xml:space="preserve">fashion, citations </w:t>
      </w:r>
      <w:r w:rsidR="00BF1B05">
        <w:t xml:space="preserve">and legal authority sections </w:t>
      </w:r>
      <w:r w:rsidR="00AB0EA9">
        <w:t>need not be read as part of the recording</w:t>
      </w:r>
      <w:r w:rsidR="00CD3335">
        <w:t>,</w:t>
      </w:r>
      <w:r>
        <w:t xml:space="preserve"> and </w:t>
      </w:r>
      <w:r w:rsidR="00AB0EA9">
        <w:t xml:space="preserve">each such file </w:t>
      </w:r>
      <w:r>
        <w:t xml:space="preserve">shall be </w:t>
      </w:r>
      <w:r w:rsidR="0060347D">
        <w:t xml:space="preserve">served on </w:t>
      </w:r>
      <w:r>
        <w:t>opposing counsel.</w:t>
      </w:r>
      <w:r w:rsidR="0060347D">
        <w:t xml:space="preserve">  </w:t>
      </w:r>
      <w:r w:rsidR="00516D37">
        <w:t>Counsel should contact chambers for procedures to submit audio files.</w:t>
      </w:r>
    </w:p>
    <w:p w14:paraId="09FC1347" w14:textId="77777777" w:rsidR="00551292" w:rsidRDefault="00551292" w:rsidP="00B51A67">
      <w:pPr>
        <w:pStyle w:val="ListParagraph"/>
        <w:numPr>
          <w:ilvl w:val="0"/>
          <w:numId w:val="40"/>
        </w:numPr>
        <w:spacing w:after="240"/>
        <w:contextualSpacing w:val="0"/>
      </w:pPr>
      <w:r>
        <w:t xml:space="preserve">The Court will entertain reasonable requests to streamline the case schedule and discovery and encourages the parties to contact the Court (with opposing counsel) </w:t>
      </w:r>
      <w:r w:rsidR="003F7B9A">
        <w:t>when such interact</w:t>
      </w:r>
      <w:r w:rsidR="0045686D">
        <w:t>ion might help streamline the case</w:t>
      </w:r>
      <w:r w:rsidR="003F7B9A">
        <w:t>.</w:t>
      </w:r>
    </w:p>
    <w:p w14:paraId="092B3AB2" w14:textId="77777777" w:rsidR="0045686D" w:rsidRDefault="0045686D">
      <w:r>
        <w:br w:type="page"/>
      </w:r>
    </w:p>
    <w:p w14:paraId="5A777F1A" w14:textId="77777777" w:rsidR="0045686D" w:rsidRDefault="0045686D" w:rsidP="008A4DA7">
      <w:pPr>
        <w:pStyle w:val="ListParagraph"/>
        <w:contextualSpacing w:val="0"/>
        <w:jc w:val="center"/>
      </w:pPr>
      <w:r>
        <w:t>APPENIDX A – DEFAULT SCHEDULE</w:t>
      </w:r>
    </w:p>
    <w:tbl>
      <w:tblPr>
        <w:tblStyle w:val="TableGrid"/>
        <w:tblpPr w:leftFromText="180" w:rightFromText="180" w:horzAnchor="margin" w:tblpY="624"/>
        <w:tblW w:w="9085" w:type="dxa"/>
        <w:tblLook w:val="04A0" w:firstRow="1" w:lastRow="0" w:firstColumn="1" w:lastColumn="0" w:noHBand="0" w:noVBand="1"/>
      </w:tblPr>
      <w:tblGrid>
        <w:gridCol w:w="2840"/>
        <w:gridCol w:w="6245"/>
      </w:tblGrid>
      <w:tr w:rsidR="0045686D" w:rsidRPr="0045686D" w14:paraId="69ECC961" w14:textId="77777777" w:rsidTr="00071206">
        <w:tc>
          <w:tcPr>
            <w:tcW w:w="2840" w:type="dxa"/>
            <w:shd w:val="clear" w:color="auto" w:fill="D9D9D9" w:themeFill="background1" w:themeFillShade="D9"/>
          </w:tcPr>
          <w:p w14:paraId="3553EA61" w14:textId="77777777" w:rsidR="0045686D" w:rsidRPr="0045686D" w:rsidRDefault="0045686D" w:rsidP="0045686D">
            <w:pPr>
              <w:pStyle w:val="BodyTextContinued"/>
              <w:rPr>
                <w:b/>
              </w:rPr>
            </w:pPr>
            <w:r>
              <w:rPr>
                <w:b/>
              </w:rPr>
              <w:t>D</w:t>
            </w:r>
            <w:r w:rsidRPr="0045686D">
              <w:rPr>
                <w:b/>
              </w:rPr>
              <w:t>eadline</w:t>
            </w:r>
          </w:p>
        </w:tc>
        <w:tc>
          <w:tcPr>
            <w:tcW w:w="6245" w:type="dxa"/>
            <w:tcBorders>
              <w:bottom w:val="single" w:sz="4" w:space="0" w:color="auto"/>
            </w:tcBorders>
            <w:shd w:val="clear" w:color="auto" w:fill="D9D9D9" w:themeFill="background1" w:themeFillShade="D9"/>
          </w:tcPr>
          <w:p w14:paraId="6F534E39" w14:textId="77777777" w:rsidR="0045686D" w:rsidRPr="0045686D" w:rsidRDefault="0045686D" w:rsidP="0045686D">
            <w:pPr>
              <w:pStyle w:val="BodyTextContinued"/>
              <w:rPr>
                <w:b/>
              </w:rPr>
            </w:pPr>
            <w:r w:rsidRPr="0045686D">
              <w:rPr>
                <w:b/>
              </w:rPr>
              <w:t>Item</w:t>
            </w:r>
          </w:p>
        </w:tc>
      </w:tr>
      <w:tr w:rsidR="0045686D" w:rsidRPr="0045686D" w14:paraId="263AB260" w14:textId="77777777" w:rsidTr="00071206">
        <w:tc>
          <w:tcPr>
            <w:tcW w:w="2840" w:type="dxa"/>
          </w:tcPr>
          <w:p w14:paraId="3BF68500" w14:textId="5BBB066D" w:rsidR="0045686D" w:rsidRPr="0045686D" w:rsidRDefault="00E01528" w:rsidP="0045686D">
            <w:pPr>
              <w:pStyle w:val="BodyTextContinued"/>
            </w:pPr>
            <w:r>
              <w:t>7 business</w:t>
            </w:r>
            <w:r w:rsidR="0045686D" w:rsidRPr="0045686D">
              <w:t xml:space="preserve"> days before CMC</w:t>
            </w:r>
          </w:p>
        </w:tc>
        <w:tc>
          <w:tcPr>
            <w:tcW w:w="6245" w:type="dxa"/>
            <w:tcBorders>
              <w:bottom w:val="single" w:sz="4" w:space="0" w:color="auto"/>
            </w:tcBorders>
          </w:tcPr>
          <w:p w14:paraId="7B592704" w14:textId="34F93EBC" w:rsidR="0045686D" w:rsidRPr="0045686D" w:rsidRDefault="0045686D" w:rsidP="007D2CA0">
            <w:pPr>
              <w:pStyle w:val="BodyTextContinued"/>
            </w:pPr>
            <w:r w:rsidRPr="0045686D">
              <w:t>Plaintiff serves preliminary</w:t>
            </w:r>
            <w:r w:rsidRPr="0045686D">
              <w:rPr>
                <w:vertAlign w:val="superscript"/>
              </w:rPr>
              <w:footnoteReference w:id="3"/>
            </w:r>
            <w:r w:rsidRPr="0045686D">
              <w:t xml:space="preserve"> infringement contentions </w:t>
            </w:r>
            <w:r w:rsidR="007E5D19">
              <w:t xml:space="preserve">in the form of a chart </w:t>
            </w:r>
            <w:r w:rsidRPr="0045686D">
              <w:t>setting forth where in the accused product(s) each element of the asserted claim(s) are found.</w:t>
            </w:r>
            <w:r w:rsidR="00071206">
              <w:t xml:space="preserve">  Plaintiff </w:t>
            </w:r>
            <w:r w:rsidR="00516D37">
              <w:t xml:space="preserve">shall also </w:t>
            </w:r>
            <w:r w:rsidR="00A733A1" w:rsidRPr="00A733A1">
              <w:t xml:space="preserve">identify the earliest priority date </w:t>
            </w:r>
            <w:r w:rsidR="007D2CA0" w:rsidRPr="007D2CA0">
              <w:t>(</w:t>
            </w:r>
            <w:r w:rsidR="007D2CA0" w:rsidRPr="007D2CA0">
              <w:rPr>
                <w:i/>
              </w:rPr>
              <w:t>i.e.</w:t>
            </w:r>
            <w:r w:rsidR="007D2CA0" w:rsidRPr="007D2CA0">
              <w:t xml:space="preserve"> the earliest date of inv</w:t>
            </w:r>
            <w:r w:rsidR="009D2311">
              <w:t>ention) for each asserted claim</w:t>
            </w:r>
            <w:r w:rsidR="00A733A1" w:rsidRPr="00A733A1">
              <w:t xml:space="preserve"> and </w:t>
            </w:r>
            <w:r w:rsidR="00071206">
              <w:t>produce</w:t>
            </w:r>
            <w:r w:rsidR="009D2311">
              <w:t xml:space="preserve">: </w:t>
            </w:r>
            <w:r w:rsidR="00516D37">
              <w:t xml:space="preserve"> (1) all d</w:t>
            </w:r>
            <w:r w:rsidR="007E5D19">
              <w:t xml:space="preserve">ocuments evidencing conception and </w:t>
            </w:r>
            <w:r w:rsidR="00516D37">
              <w:t xml:space="preserve">reduction to practice </w:t>
            </w:r>
            <w:r w:rsidR="007E5D19">
              <w:t xml:space="preserve">for </w:t>
            </w:r>
            <w:r w:rsidR="00516D37">
              <w:t>each claimed invention</w:t>
            </w:r>
            <w:r w:rsidR="007E5D19">
              <w:t>,</w:t>
            </w:r>
            <w:r w:rsidR="00516D37">
              <w:t xml:space="preserve"> and (2) a copy of the file history for each patent in suit.</w:t>
            </w:r>
          </w:p>
        </w:tc>
      </w:tr>
      <w:tr w:rsidR="00071206" w:rsidRPr="0045686D" w14:paraId="3EF84B4C" w14:textId="77777777" w:rsidTr="00071206">
        <w:tc>
          <w:tcPr>
            <w:tcW w:w="2840" w:type="dxa"/>
          </w:tcPr>
          <w:p w14:paraId="34D9D256" w14:textId="77777777" w:rsidR="00071206" w:rsidRDefault="00071206" w:rsidP="00E74993">
            <w:pPr>
              <w:pStyle w:val="BodyTextContinued"/>
            </w:pPr>
            <w:r>
              <w:t>2 weeks after CMC</w:t>
            </w:r>
          </w:p>
        </w:tc>
        <w:tc>
          <w:tcPr>
            <w:tcW w:w="6245" w:type="dxa"/>
            <w:tcBorders>
              <w:top w:val="single" w:sz="4" w:space="0" w:color="auto"/>
            </w:tcBorders>
          </w:tcPr>
          <w:p w14:paraId="2366EF55" w14:textId="77777777" w:rsidR="00071206" w:rsidRPr="0045686D" w:rsidRDefault="00071206" w:rsidP="0045686D">
            <w:pPr>
              <w:pStyle w:val="BodyTextContinued"/>
            </w:pPr>
            <w:r>
              <w:t>Deadline for Motions to Transfer</w:t>
            </w:r>
          </w:p>
        </w:tc>
      </w:tr>
      <w:tr w:rsidR="0045686D" w:rsidRPr="0045686D" w14:paraId="2B3FD9DF" w14:textId="77777777" w:rsidTr="00071206">
        <w:tc>
          <w:tcPr>
            <w:tcW w:w="2840" w:type="dxa"/>
          </w:tcPr>
          <w:p w14:paraId="566D7E05" w14:textId="77777777" w:rsidR="0045686D" w:rsidRPr="0045686D" w:rsidRDefault="00E74993" w:rsidP="00E74993">
            <w:pPr>
              <w:pStyle w:val="BodyTextContinued"/>
            </w:pPr>
            <w:r>
              <w:t>7 weeks af</w:t>
            </w:r>
            <w:r w:rsidR="0045686D" w:rsidRPr="0045686D">
              <w:t>ter CMC</w:t>
            </w:r>
          </w:p>
        </w:tc>
        <w:tc>
          <w:tcPr>
            <w:tcW w:w="6245" w:type="dxa"/>
            <w:tcBorders>
              <w:top w:val="single" w:sz="4" w:space="0" w:color="auto"/>
            </w:tcBorders>
          </w:tcPr>
          <w:p w14:paraId="418876BC" w14:textId="4588128C" w:rsidR="0045686D" w:rsidRPr="0045686D" w:rsidRDefault="0045686D" w:rsidP="00771920">
            <w:pPr>
              <w:pStyle w:val="BodyTextContinued"/>
            </w:pPr>
            <w:r w:rsidRPr="0045686D">
              <w:t xml:space="preserve">Defendant serves preliminary invalidity contentions </w:t>
            </w:r>
            <w:r w:rsidR="007E5D19">
              <w:t xml:space="preserve">in the form of </w:t>
            </w:r>
            <w:r w:rsidR="00771920">
              <w:t xml:space="preserve">(1) </w:t>
            </w:r>
            <w:r w:rsidR="007E5D19">
              <w:t xml:space="preserve">a chart </w:t>
            </w:r>
            <w:r w:rsidRPr="0045686D">
              <w:t>setting forth where in the prior art references each element of the asserted claim(s) are found</w:t>
            </w:r>
            <w:r w:rsidR="00771920">
              <w:t>, (2) an identification of any limitations the Defendant contends are indefinite or lack written description under section 112, and (3) an identification of any claims the Defendant contends are directed to ineligible subject matter under section 101</w:t>
            </w:r>
            <w:r w:rsidRPr="0045686D">
              <w:t>.</w:t>
            </w:r>
            <w:r>
              <w:t xml:space="preserve">  Defendant </w:t>
            </w:r>
            <w:r w:rsidR="007E5D19">
              <w:t xml:space="preserve">shall also </w:t>
            </w:r>
            <w:r w:rsidR="00516D37">
              <w:t xml:space="preserve">produce (1) all prior art referenced in </w:t>
            </w:r>
            <w:r w:rsidR="007E5D19">
              <w:t xml:space="preserve">the invalidity </w:t>
            </w:r>
            <w:r w:rsidR="00516D37">
              <w:t>contentions</w:t>
            </w:r>
            <w:r w:rsidR="007E5D19">
              <w:t>,</w:t>
            </w:r>
            <w:r w:rsidR="00516D37">
              <w:t xml:space="preserve"> (2) </w:t>
            </w:r>
            <w:r>
              <w:t>technical documents</w:t>
            </w:r>
            <w:r w:rsidR="005C60B6">
              <w:t>, including software where applicable,</w:t>
            </w:r>
            <w:r>
              <w:t xml:space="preserve"> sufficient to show the operation of the accused product</w:t>
            </w:r>
            <w:r w:rsidR="00C81B64">
              <w:t>(</w:t>
            </w:r>
            <w:r>
              <w:t>s</w:t>
            </w:r>
            <w:r w:rsidR="00C81B64">
              <w:t>), and (3) summary, annual sales information for the accused product(s) for the prior two years</w:t>
            </w:r>
            <w:r w:rsidR="00C516DB">
              <w:t>, unless the parties agree to some other timeframe</w:t>
            </w:r>
            <w:r w:rsidR="00C81B64">
              <w:t>.</w:t>
            </w:r>
          </w:p>
        </w:tc>
      </w:tr>
      <w:tr w:rsidR="0045686D" w:rsidRPr="0045686D" w14:paraId="01AA1C82" w14:textId="77777777" w:rsidTr="00934E5C">
        <w:tc>
          <w:tcPr>
            <w:tcW w:w="2840" w:type="dxa"/>
          </w:tcPr>
          <w:p w14:paraId="4B96161B" w14:textId="77777777" w:rsidR="0045686D" w:rsidRPr="0045686D" w:rsidRDefault="00600638" w:rsidP="00E74993">
            <w:pPr>
              <w:pStyle w:val="BodyTextContinued"/>
            </w:pPr>
            <w:r>
              <w:t>9</w:t>
            </w:r>
            <w:r w:rsidR="00E74993">
              <w:t xml:space="preserve"> weeks after CMC</w:t>
            </w:r>
          </w:p>
        </w:tc>
        <w:tc>
          <w:tcPr>
            <w:tcW w:w="6245" w:type="dxa"/>
          </w:tcPr>
          <w:p w14:paraId="57DAD855" w14:textId="1DDD550A" w:rsidR="0045686D" w:rsidRPr="0045686D" w:rsidRDefault="0045686D" w:rsidP="0045686D">
            <w:pPr>
              <w:pStyle w:val="BodyTextContinued"/>
            </w:pPr>
            <w:r w:rsidRPr="0045686D">
              <w:t xml:space="preserve">Parties exchange </w:t>
            </w:r>
            <w:r w:rsidR="00071206">
              <w:t xml:space="preserve">claim </w:t>
            </w:r>
            <w:r w:rsidRPr="0045686D">
              <w:t>terms for construction</w:t>
            </w:r>
            <w:r w:rsidR="00BF1B05">
              <w:t>.</w:t>
            </w:r>
          </w:p>
        </w:tc>
      </w:tr>
      <w:tr w:rsidR="0045686D" w:rsidRPr="0045686D" w14:paraId="5A80F61E" w14:textId="77777777" w:rsidTr="00934E5C">
        <w:tc>
          <w:tcPr>
            <w:tcW w:w="2840" w:type="dxa"/>
          </w:tcPr>
          <w:p w14:paraId="761462B7" w14:textId="77777777" w:rsidR="0045686D" w:rsidRPr="0045686D" w:rsidRDefault="00600638" w:rsidP="00E74993">
            <w:pPr>
              <w:pStyle w:val="BodyTextContinued"/>
            </w:pPr>
            <w:r>
              <w:t>11</w:t>
            </w:r>
            <w:r w:rsidR="00E74993">
              <w:t xml:space="preserve"> weeks after CMC</w:t>
            </w:r>
          </w:p>
        </w:tc>
        <w:tc>
          <w:tcPr>
            <w:tcW w:w="6245" w:type="dxa"/>
          </w:tcPr>
          <w:p w14:paraId="071C0F3B" w14:textId="20D39879" w:rsidR="0045686D" w:rsidRPr="0045686D" w:rsidRDefault="0045686D" w:rsidP="0045686D">
            <w:pPr>
              <w:pStyle w:val="BodyTextContinued"/>
            </w:pPr>
            <w:r w:rsidRPr="0045686D">
              <w:t xml:space="preserve">Parties exchange proposed </w:t>
            </w:r>
            <w:r w:rsidR="00071206">
              <w:t xml:space="preserve">claim </w:t>
            </w:r>
            <w:r w:rsidRPr="0045686D">
              <w:t>constructions</w:t>
            </w:r>
            <w:r w:rsidR="00BF1B05">
              <w:t>.</w:t>
            </w:r>
          </w:p>
        </w:tc>
      </w:tr>
      <w:tr w:rsidR="00F97197" w:rsidRPr="0045686D" w14:paraId="7F0C823B" w14:textId="77777777" w:rsidTr="00934E5C">
        <w:tc>
          <w:tcPr>
            <w:tcW w:w="2840" w:type="dxa"/>
          </w:tcPr>
          <w:p w14:paraId="38D0C04B" w14:textId="70666DE4" w:rsidR="00F97197" w:rsidRDefault="00F97197" w:rsidP="00E74993">
            <w:pPr>
              <w:pStyle w:val="BodyTextContinued"/>
            </w:pPr>
            <w:r>
              <w:t>12 weeks after CMC</w:t>
            </w:r>
          </w:p>
        </w:tc>
        <w:tc>
          <w:tcPr>
            <w:tcW w:w="6245" w:type="dxa"/>
          </w:tcPr>
          <w:p w14:paraId="3B6DD18B" w14:textId="7048230B" w:rsidR="00F97197" w:rsidRPr="0045686D" w:rsidRDefault="00CD49BD" w:rsidP="00DC16AB">
            <w:pPr>
              <w:pStyle w:val="BodyTextContinued"/>
            </w:pPr>
            <w:r>
              <w:t>P</w:t>
            </w:r>
            <w:r w:rsidRPr="00CD49BD">
              <w:t>arties disclose extrinsic evidence.  The parties shall disclose any extrinsic evidence, including the identity of any expert witness they may rely upon with respect to claim construction or indefiniteness.  With respect to any expert identified, the parties shall also provide a summary of the witness’s expected testimony including the opinions to be expressed and a general description of the basis and reasons therefore.  A failure to summarize the potential expert testimony in a good faith, informative fashion may result in the exclusion of the proffered testimony.  With respect to items of extrinsic evidence, the parties shall identify each such item by production number or produce a copy of any such item if not previously produced.</w:t>
            </w:r>
          </w:p>
        </w:tc>
      </w:tr>
      <w:tr w:rsidR="0045686D" w:rsidRPr="0045686D" w14:paraId="3D1AA410" w14:textId="77777777" w:rsidTr="00934E5C">
        <w:tc>
          <w:tcPr>
            <w:tcW w:w="2840" w:type="dxa"/>
          </w:tcPr>
          <w:p w14:paraId="206EB2C5" w14:textId="77777777" w:rsidR="0045686D" w:rsidRPr="0045686D" w:rsidRDefault="00071206" w:rsidP="00E74993">
            <w:pPr>
              <w:pStyle w:val="BodyTextContinued"/>
            </w:pPr>
            <w:r>
              <w:t>13</w:t>
            </w:r>
            <w:r w:rsidR="00E74993">
              <w:t xml:space="preserve"> weeks after CMC</w:t>
            </w:r>
          </w:p>
        </w:tc>
        <w:tc>
          <w:tcPr>
            <w:tcW w:w="6245" w:type="dxa"/>
          </w:tcPr>
          <w:p w14:paraId="51CCE92F" w14:textId="5BADEC1F" w:rsidR="0045686D" w:rsidRPr="0045686D" w:rsidRDefault="0045686D" w:rsidP="0045686D">
            <w:pPr>
              <w:pStyle w:val="BodyTextContinued"/>
            </w:pPr>
            <w:r w:rsidRPr="0045686D">
              <w:t>Deadline to meet and confer to narrow terms in dispute and exchange revised list of terms/constructions</w:t>
            </w:r>
            <w:r w:rsidR="00BF1B05">
              <w:t>.</w:t>
            </w:r>
          </w:p>
        </w:tc>
      </w:tr>
      <w:tr w:rsidR="0045686D" w:rsidRPr="0045686D" w14:paraId="665813EF" w14:textId="77777777" w:rsidTr="00934E5C">
        <w:tc>
          <w:tcPr>
            <w:tcW w:w="2840" w:type="dxa"/>
          </w:tcPr>
          <w:p w14:paraId="4214DA8C" w14:textId="77777777" w:rsidR="0045686D" w:rsidRPr="0045686D" w:rsidRDefault="00600638" w:rsidP="00E74993">
            <w:pPr>
              <w:pStyle w:val="BodyTextContinued"/>
            </w:pPr>
            <w:r>
              <w:t>14</w:t>
            </w:r>
            <w:r w:rsidR="00E74993">
              <w:t xml:space="preserve"> weeks after CMC</w:t>
            </w:r>
          </w:p>
        </w:tc>
        <w:tc>
          <w:tcPr>
            <w:tcW w:w="6245" w:type="dxa"/>
          </w:tcPr>
          <w:p w14:paraId="3510F371" w14:textId="30F26275" w:rsidR="0045686D" w:rsidRPr="0045686D" w:rsidRDefault="0045686D" w:rsidP="00E74993">
            <w:pPr>
              <w:pStyle w:val="BodyTextContinued"/>
            </w:pPr>
            <w:r w:rsidRPr="0045686D">
              <w:t>P</w:t>
            </w:r>
            <w:r w:rsidR="00E74993">
              <w:t>arties file O</w:t>
            </w:r>
            <w:r w:rsidRPr="0045686D">
              <w:t>pening claim construction brief</w:t>
            </w:r>
            <w:r w:rsidR="00E74993">
              <w:t>s</w:t>
            </w:r>
            <w:r w:rsidR="00C81B64">
              <w:t xml:space="preserve">, </w:t>
            </w:r>
            <w:r w:rsidR="00C81B64" w:rsidRPr="00C81B64">
              <w:t>including any arguments that any claim terms are indefinite.</w:t>
            </w:r>
          </w:p>
        </w:tc>
      </w:tr>
      <w:tr w:rsidR="0045686D" w:rsidRPr="0045686D" w14:paraId="1D549601" w14:textId="77777777" w:rsidTr="00934E5C">
        <w:tc>
          <w:tcPr>
            <w:tcW w:w="2840" w:type="dxa"/>
          </w:tcPr>
          <w:p w14:paraId="5C01A884" w14:textId="77777777" w:rsidR="0045686D" w:rsidRPr="0045686D" w:rsidRDefault="00600638" w:rsidP="00E74993">
            <w:pPr>
              <w:pStyle w:val="BodyTextContinued"/>
            </w:pPr>
            <w:r>
              <w:t>17</w:t>
            </w:r>
            <w:r w:rsidR="00E74993">
              <w:t xml:space="preserve"> weeks after CMC</w:t>
            </w:r>
          </w:p>
        </w:tc>
        <w:tc>
          <w:tcPr>
            <w:tcW w:w="6245" w:type="dxa"/>
          </w:tcPr>
          <w:p w14:paraId="46AAB0FC" w14:textId="7619507C" w:rsidR="0045686D" w:rsidRPr="0045686D" w:rsidRDefault="00E74993" w:rsidP="00BF1B05">
            <w:pPr>
              <w:pStyle w:val="BodyTextContinued"/>
            </w:pPr>
            <w:r>
              <w:t>Parties file R</w:t>
            </w:r>
            <w:r w:rsidR="0045686D" w:rsidRPr="0045686D">
              <w:t>esponsive clai</w:t>
            </w:r>
            <w:r>
              <w:t>m construction briefs</w:t>
            </w:r>
            <w:r w:rsidR="00BF1B05">
              <w:t>.</w:t>
            </w:r>
            <w:r w:rsidR="0045686D" w:rsidRPr="0045686D">
              <w:t xml:space="preserve"> </w:t>
            </w:r>
          </w:p>
        </w:tc>
      </w:tr>
      <w:tr w:rsidR="0045686D" w:rsidRPr="0045686D" w14:paraId="1F2A5DDB" w14:textId="77777777" w:rsidTr="00934E5C">
        <w:tc>
          <w:tcPr>
            <w:tcW w:w="2840" w:type="dxa"/>
          </w:tcPr>
          <w:p w14:paraId="510B71C3" w14:textId="77777777" w:rsidR="0045686D" w:rsidRPr="0045686D" w:rsidRDefault="00600638" w:rsidP="00E74993">
            <w:pPr>
              <w:pStyle w:val="BodyTextContinued"/>
            </w:pPr>
            <w:r>
              <w:t>19</w:t>
            </w:r>
            <w:r w:rsidR="0045686D" w:rsidRPr="0045686D">
              <w:t xml:space="preserve"> </w:t>
            </w:r>
            <w:r w:rsidR="00E74993">
              <w:t>weeks after CMC</w:t>
            </w:r>
          </w:p>
        </w:tc>
        <w:tc>
          <w:tcPr>
            <w:tcW w:w="6245" w:type="dxa"/>
          </w:tcPr>
          <w:p w14:paraId="3F183808" w14:textId="151BCF08" w:rsidR="0045686D" w:rsidRPr="0045686D" w:rsidRDefault="00E74993" w:rsidP="00771920">
            <w:pPr>
              <w:pStyle w:val="BodyTextContinued"/>
            </w:pPr>
            <w:r>
              <w:t>Parties file Reply claim construction briefs.</w:t>
            </w:r>
          </w:p>
        </w:tc>
      </w:tr>
      <w:tr w:rsidR="0045686D" w:rsidRPr="0045686D" w14:paraId="5EB698AD" w14:textId="77777777" w:rsidTr="00934E5C">
        <w:tc>
          <w:tcPr>
            <w:tcW w:w="2840" w:type="dxa"/>
          </w:tcPr>
          <w:p w14:paraId="375F50F5" w14:textId="77777777" w:rsidR="0045686D" w:rsidRPr="0045686D" w:rsidRDefault="00600638" w:rsidP="00E74993">
            <w:pPr>
              <w:pStyle w:val="BodyTextContinued"/>
            </w:pPr>
            <w:r>
              <w:t>20</w:t>
            </w:r>
            <w:r w:rsidR="00E74993">
              <w:t xml:space="preserve"> weeks after CMC</w:t>
            </w:r>
          </w:p>
        </w:tc>
        <w:tc>
          <w:tcPr>
            <w:tcW w:w="6245" w:type="dxa"/>
          </w:tcPr>
          <w:p w14:paraId="5EB19BE5" w14:textId="3BE304EF" w:rsidR="0045686D" w:rsidRPr="0045686D" w:rsidRDefault="0045686D" w:rsidP="000B431D">
            <w:pPr>
              <w:pStyle w:val="BodyTextContinued"/>
            </w:pPr>
            <w:r w:rsidRPr="0045686D">
              <w:t xml:space="preserve">Parties submit Joint Claim Construction Statement and consolidated briefing collated by Opening, Response, </w:t>
            </w:r>
            <w:r w:rsidR="00E74993">
              <w:t>and Reply</w:t>
            </w:r>
            <w:r w:rsidR="000B431D">
              <w:t xml:space="preserve"> in Micros</w:t>
            </w:r>
            <w:r w:rsidR="00B67EA0">
              <w:t>o</w:t>
            </w:r>
            <w:r w:rsidR="000B431D">
              <w:t>ft Word format</w:t>
            </w:r>
            <w:r w:rsidR="00600638">
              <w:t>.</w:t>
            </w:r>
            <w:r w:rsidR="000B431D">
              <w:t xml:space="preserve">  Absent agreement of the parties, the Plaintiff shall be responsible for the timely submission of this and other Joint filings.</w:t>
            </w:r>
          </w:p>
        </w:tc>
      </w:tr>
      <w:tr w:rsidR="0045686D" w:rsidRPr="0045686D" w14:paraId="789800AF" w14:textId="77777777" w:rsidTr="00934E5C">
        <w:tc>
          <w:tcPr>
            <w:tcW w:w="2840" w:type="dxa"/>
          </w:tcPr>
          <w:p w14:paraId="1E0C01B0" w14:textId="77777777" w:rsidR="0045686D" w:rsidRPr="0045686D" w:rsidRDefault="00600638" w:rsidP="00E74993">
            <w:pPr>
              <w:pStyle w:val="BodyTextContinued"/>
            </w:pPr>
            <w:r>
              <w:t>23</w:t>
            </w:r>
            <w:r w:rsidR="00E74993">
              <w:t xml:space="preserve"> weeks after CMC </w:t>
            </w:r>
            <w:r w:rsidR="0045686D" w:rsidRPr="0045686D">
              <w:t>(or as soon as practicable)</w:t>
            </w:r>
          </w:p>
        </w:tc>
        <w:tc>
          <w:tcPr>
            <w:tcW w:w="6245" w:type="dxa"/>
          </w:tcPr>
          <w:p w14:paraId="4DA97270" w14:textId="42F1D72F" w:rsidR="0045686D" w:rsidRPr="0045686D" w:rsidRDefault="0045686D" w:rsidP="00E74993">
            <w:pPr>
              <w:pStyle w:val="BodyTextContinued"/>
            </w:pPr>
            <w:r w:rsidRPr="0045686D">
              <w:t xml:space="preserve">Markman Hearing </w:t>
            </w:r>
            <w:r w:rsidR="00E74993">
              <w:t>a</w:t>
            </w:r>
            <w:r w:rsidR="00BF1B05">
              <w:t xml:space="preserve">t [9:00 </w:t>
            </w:r>
            <w:r w:rsidR="000967E0">
              <w:t>a.m.</w:t>
            </w:r>
            <w:r w:rsidR="00BF1B05">
              <w:t xml:space="preserve"> or 1:00 p.m.]</w:t>
            </w:r>
          </w:p>
        </w:tc>
      </w:tr>
      <w:tr w:rsidR="0045686D" w:rsidRPr="0045686D" w14:paraId="191A7247" w14:textId="77777777" w:rsidTr="00934E5C">
        <w:tc>
          <w:tcPr>
            <w:tcW w:w="2840" w:type="dxa"/>
          </w:tcPr>
          <w:p w14:paraId="7A5F3D25" w14:textId="77777777" w:rsidR="0045686D" w:rsidRPr="0045686D" w:rsidRDefault="00E74993" w:rsidP="00E74993">
            <w:pPr>
              <w:pStyle w:val="BodyTextContinued"/>
            </w:pPr>
            <w:r>
              <w:t>1 week after Markman hearing</w:t>
            </w:r>
          </w:p>
        </w:tc>
        <w:tc>
          <w:tcPr>
            <w:tcW w:w="6245" w:type="dxa"/>
          </w:tcPr>
          <w:p w14:paraId="32B9B325" w14:textId="77777777" w:rsidR="0045686D" w:rsidRPr="0045686D" w:rsidRDefault="00E74993" w:rsidP="0045686D">
            <w:pPr>
              <w:pStyle w:val="BodyTextContinued"/>
            </w:pPr>
            <w:r>
              <w:t xml:space="preserve">Fact </w:t>
            </w:r>
            <w:r w:rsidR="00071206">
              <w:t>Discovery opens; deadline to</w:t>
            </w:r>
            <w:r>
              <w:t xml:space="preserve"> serve Initial Disclosures per Rule 26(a)</w:t>
            </w:r>
            <w:r w:rsidR="00071206">
              <w:t>.</w:t>
            </w:r>
          </w:p>
        </w:tc>
      </w:tr>
      <w:tr w:rsidR="00600638" w:rsidRPr="0045686D" w14:paraId="1F7AA93B" w14:textId="77777777" w:rsidTr="00934E5C">
        <w:tc>
          <w:tcPr>
            <w:tcW w:w="2840" w:type="dxa"/>
          </w:tcPr>
          <w:p w14:paraId="269ECD7C" w14:textId="77777777" w:rsidR="00600638" w:rsidRDefault="00600638" w:rsidP="00E74993">
            <w:pPr>
              <w:pStyle w:val="BodyTextContinued"/>
            </w:pPr>
            <w:r>
              <w:t>6 weeks after Markman hearing</w:t>
            </w:r>
          </w:p>
        </w:tc>
        <w:tc>
          <w:tcPr>
            <w:tcW w:w="6245" w:type="dxa"/>
          </w:tcPr>
          <w:p w14:paraId="353DD0A9" w14:textId="488FF381" w:rsidR="00600638" w:rsidRDefault="00600638" w:rsidP="0045686D">
            <w:pPr>
              <w:pStyle w:val="BodyTextContinued"/>
            </w:pPr>
            <w:r>
              <w:t>Deadline to add parties</w:t>
            </w:r>
            <w:r w:rsidR="00BF1B05">
              <w:t>.</w:t>
            </w:r>
          </w:p>
        </w:tc>
      </w:tr>
      <w:tr w:rsidR="0045686D" w:rsidRPr="0045686D" w14:paraId="2F4627A2" w14:textId="77777777" w:rsidTr="00934E5C">
        <w:tc>
          <w:tcPr>
            <w:tcW w:w="2840" w:type="dxa"/>
          </w:tcPr>
          <w:p w14:paraId="3FBAFB00" w14:textId="77777777" w:rsidR="0045686D" w:rsidRPr="0045686D" w:rsidRDefault="006D38EC" w:rsidP="0045686D">
            <w:pPr>
              <w:pStyle w:val="BodyTextContinued"/>
            </w:pPr>
            <w:r>
              <w:t>8 weeks after Markman hearing</w:t>
            </w:r>
          </w:p>
        </w:tc>
        <w:tc>
          <w:tcPr>
            <w:tcW w:w="6245" w:type="dxa"/>
          </w:tcPr>
          <w:p w14:paraId="033BFC2E" w14:textId="77777777" w:rsidR="0045686D" w:rsidRPr="0045686D" w:rsidRDefault="0045686D" w:rsidP="0045686D">
            <w:pPr>
              <w:pStyle w:val="BodyTextContinued"/>
            </w:pPr>
            <w:r w:rsidRPr="0045686D">
              <w:t>Deadline to serve Final Infringement and Invalidity Contentions.</w:t>
            </w:r>
          </w:p>
        </w:tc>
      </w:tr>
      <w:tr w:rsidR="00CD3335" w:rsidRPr="0045686D" w14:paraId="3D8A522A" w14:textId="77777777" w:rsidTr="00934E5C">
        <w:tc>
          <w:tcPr>
            <w:tcW w:w="2840" w:type="dxa"/>
          </w:tcPr>
          <w:p w14:paraId="316B512A" w14:textId="77777777" w:rsidR="00CD3335" w:rsidRDefault="00CD3335" w:rsidP="0045686D">
            <w:pPr>
              <w:pStyle w:val="BodyTextContinued"/>
            </w:pPr>
            <w:r>
              <w:t>12 weeks after Markman hearing</w:t>
            </w:r>
          </w:p>
        </w:tc>
        <w:tc>
          <w:tcPr>
            <w:tcW w:w="6245" w:type="dxa"/>
          </w:tcPr>
          <w:p w14:paraId="7D158488" w14:textId="77777777" w:rsidR="00CD3335" w:rsidRPr="0045686D" w:rsidRDefault="00CD3335" w:rsidP="0045686D">
            <w:pPr>
              <w:pStyle w:val="BodyTextContinued"/>
            </w:pPr>
            <w:r>
              <w:t>Deadline to amend pleadings.  A motion is not required unless the amendment adds patents or claims.</w:t>
            </w:r>
          </w:p>
        </w:tc>
      </w:tr>
      <w:tr w:rsidR="0045686D" w:rsidRPr="0045686D" w14:paraId="52E6C836" w14:textId="77777777" w:rsidTr="00934E5C">
        <w:tc>
          <w:tcPr>
            <w:tcW w:w="2840" w:type="dxa"/>
          </w:tcPr>
          <w:p w14:paraId="7E7ED95D" w14:textId="77777777" w:rsidR="0045686D" w:rsidRPr="0045686D" w:rsidRDefault="00FC6F62" w:rsidP="0045686D">
            <w:pPr>
              <w:pStyle w:val="BodyTextContinued"/>
            </w:pPr>
            <w:r>
              <w:t>24</w:t>
            </w:r>
            <w:r w:rsidR="006D38EC">
              <w:t xml:space="preserve"> weeks after Markman hearing</w:t>
            </w:r>
          </w:p>
        </w:tc>
        <w:tc>
          <w:tcPr>
            <w:tcW w:w="6245" w:type="dxa"/>
          </w:tcPr>
          <w:p w14:paraId="6365C942" w14:textId="555589C4" w:rsidR="0045686D" w:rsidRPr="0045686D" w:rsidRDefault="0045686D" w:rsidP="0045686D">
            <w:pPr>
              <w:pStyle w:val="BodyTextContinued"/>
            </w:pPr>
            <w:r w:rsidRPr="0045686D">
              <w:t>Close of Fact Discovery</w:t>
            </w:r>
            <w:r w:rsidR="00BF1B05">
              <w:t>.</w:t>
            </w:r>
          </w:p>
        </w:tc>
      </w:tr>
      <w:tr w:rsidR="0045686D" w:rsidRPr="0045686D" w14:paraId="089BE05C" w14:textId="77777777" w:rsidTr="00934E5C">
        <w:tc>
          <w:tcPr>
            <w:tcW w:w="2840" w:type="dxa"/>
          </w:tcPr>
          <w:p w14:paraId="7A9B9448" w14:textId="77777777" w:rsidR="0045686D" w:rsidRPr="0045686D" w:rsidRDefault="00FC6F62" w:rsidP="006D38EC">
            <w:pPr>
              <w:pStyle w:val="BodyTextContinued"/>
            </w:pPr>
            <w:r>
              <w:t>25</w:t>
            </w:r>
            <w:r w:rsidR="006D38EC">
              <w:t xml:space="preserve"> weeks after Markman hearing </w:t>
            </w:r>
          </w:p>
        </w:tc>
        <w:tc>
          <w:tcPr>
            <w:tcW w:w="6245" w:type="dxa"/>
          </w:tcPr>
          <w:p w14:paraId="3D94981A" w14:textId="54286959" w:rsidR="0045686D" w:rsidRPr="0045686D" w:rsidRDefault="0045686D" w:rsidP="0045686D">
            <w:pPr>
              <w:pStyle w:val="BodyTextContinued"/>
            </w:pPr>
            <w:r w:rsidRPr="0045686D">
              <w:t>Opening Expert Reports</w:t>
            </w:r>
            <w:r w:rsidR="00BF1B05">
              <w:t>.</w:t>
            </w:r>
          </w:p>
        </w:tc>
      </w:tr>
      <w:tr w:rsidR="0045686D" w:rsidRPr="0045686D" w14:paraId="265D39FB" w14:textId="77777777" w:rsidTr="00934E5C">
        <w:tc>
          <w:tcPr>
            <w:tcW w:w="2840" w:type="dxa"/>
          </w:tcPr>
          <w:p w14:paraId="5EFAE4C3" w14:textId="45A99F92" w:rsidR="0045686D" w:rsidRPr="0045686D" w:rsidRDefault="00FC6F62" w:rsidP="006D38EC">
            <w:pPr>
              <w:pStyle w:val="BodyTextContinued"/>
            </w:pPr>
            <w:r>
              <w:t>2</w:t>
            </w:r>
            <w:r w:rsidR="002F7369">
              <w:t>9</w:t>
            </w:r>
            <w:r w:rsidR="006D38EC">
              <w:t xml:space="preserve"> weeks after Markman hearing</w:t>
            </w:r>
          </w:p>
        </w:tc>
        <w:tc>
          <w:tcPr>
            <w:tcW w:w="6245" w:type="dxa"/>
          </w:tcPr>
          <w:p w14:paraId="5A2707A5" w14:textId="2B90FDB8" w:rsidR="0045686D" w:rsidRPr="0045686D" w:rsidRDefault="0045686D" w:rsidP="0045686D">
            <w:pPr>
              <w:pStyle w:val="BodyTextContinued"/>
            </w:pPr>
            <w:r w:rsidRPr="0045686D">
              <w:t>Rebuttal Expert Reports</w:t>
            </w:r>
            <w:r w:rsidR="00BF1B05">
              <w:t>.</w:t>
            </w:r>
          </w:p>
        </w:tc>
      </w:tr>
      <w:tr w:rsidR="0045686D" w:rsidRPr="0045686D" w14:paraId="4218CF1C" w14:textId="77777777" w:rsidTr="00934E5C">
        <w:tc>
          <w:tcPr>
            <w:tcW w:w="2840" w:type="dxa"/>
          </w:tcPr>
          <w:p w14:paraId="61862162" w14:textId="175B7D5B" w:rsidR="0045686D" w:rsidRPr="0045686D" w:rsidRDefault="00FC6F62" w:rsidP="006D38EC">
            <w:pPr>
              <w:pStyle w:val="BodyTextContinued"/>
            </w:pPr>
            <w:r>
              <w:t>3</w:t>
            </w:r>
            <w:r w:rsidR="00C81B64">
              <w:t>2</w:t>
            </w:r>
            <w:r w:rsidR="006D38EC">
              <w:t xml:space="preserve"> weeks after Markman hearing</w:t>
            </w:r>
          </w:p>
        </w:tc>
        <w:tc>
          <w:tcPr>
            <w:tcW w:w="6245" w:type="dxa"/>
          </w:tcPr>
          <w:p w14:paraId="71BB8637" w14:textId="4327013C" w:rsidR="0045686D" w:rsidRPr="0045686D" w:rsidRDefault="0045686D" w:rsidP="0045686D">
            <w:pPr>
              <w:pStyle w:val="BodyTextContinued"/>
            </w:pPr>
            <w:r w:rsidRPr="0045686D">
              <w:t>Close of Expert Discovery</w:t>
            </w:r>
            <w:r w:rsidR="00BF1B05">
              <w:t>.</w:t>
            </w:r>
          </w:p>
        </w:tc>
      </w:tr>
      <w:tr w:rsidR="00C81B64" w:rsidRPr="0045686D" w14:paraId="66886BBC" w14:textId="77777777" w:rsidTr="00950EDF">
        <w:tc>
          <w:tcPr>
            <w:tcW w:w="2840" w:type="dxa"/>
            <w:shd w:val="clear" w:color="auto" w:fill="auto"/>
          </w:tcPr>
          <w:p w14:paraId="4CCE4B00" w14:textId="77777777" w:rsidR="00C81B64" w:rsidRDefault="00C81B64" w:rsidP="006D38EC">
            <w:pPr>
              <w:pStyle w:val="BodyTextContinued"/>
            </w:pPr>
            <w:r>
              <w:t>33 weeks after Markman hearing</w:t>
            </w:r>
          </w:p>
        </w:tc>
        <w:tc>
          <w:tcPr>
            <w:tcW w:w="6245" w:type="dxa"/>
            <w:shd w:val="clear" w:color="auto" w:fill="auto"/>
          </w:tcPr>
          <w:p w14:paraId="21201312" w14:textId="3BF43D30" w:rsidR="00C81B64" w:rsidRDefault="00C81B64" w:rsidP="00950EDF">
            <w:pPr>
              <w:pStyle w:val="BodyTextContinued"/>
            </w:pPr>
            <w:r>
              <w:t xml:space="preserve">Deadline to meet and confer to discuss narrowing </w:t>
            </w:r>
            <w:r w:rsidR="002F7369">
              <w:t xml:space="preserve">the number </w:t>
            </w:r>
            <w:r>
              <w:t xml:space="preserve">of claims </w:t>
            </w:r>
            <w:r w:rsidR="002F7369">
              <w:t xml:space="preserve">asserted </w:t>
            </w:r>
            <w:r>
              <w:t>and prior art references at issue.  The parties shall file a report within 5 business days regarding the results of the meet and confer.</w:t>
            </w:r>
          </w:p>
        </w:tc>
      </w:tr>
      <w:tr w:rsidR="0045686D" w:rsidRPr="0045686D" w14:paraId="45864FD0" w14:textId="77777777" w:rsidTr="00934E5C">
        <w:tc>
          <w:tcPr>
            <w:tcW w:w="2840" w:type="dxa"/>
          </w:tcPr>
          <w:p w14:paraId="1A99EF1B" w14:textId="2BE4D351" w:rsidR="0045686D" w:rsidRPr="0045686D" w:rsidRDefault="00FC6F62" w:rsidP="006D38EC">
            <w:pPr>
              <w:pStyle w:val="BodyTextContinued"/>
            </w:pPr>
            <w:r>
              <w:t>3</w:t>
            </w:r>
            <w:r w:rsidR="00C81B64">
              <w:t>4</w:t>
            </w:r>
            <w:r w:rsidR="006D38EC">
              <w:t xml:space="preserve"> weeks after Markman hearing</w:t>
            </w:r>
          </w:p>
        </w:tc>
        <w:tc>
          <w:tcPr>
            <w:tcW w:w="6245" w:type="dxa"/>
          </w:tcPr>
          <w:p w14:paraId="1E769030" w14:textId="77777777" w:rsidR="0045686D" w:rsidRPr="0045686D" w:rsidRDefault="00CD3335" w:rsidP="00CD3335">
            <w:pPr>
              <w:pStyle w:val="BodyTextContinued"/>
            </w:pPr>
            <w:r>
              <w:t xml:space="preserve">Dispositive motion deadline </w:t>
            </w:r>
            <w:r w:rsidR="0045686D" w:rsidRPr="0045686D">
              <w:t xml:space="preserve">and </w:t>
            </w:r>
            <w:r w:rsidR="0045686D" w:rsidRPr="0045686D">
              <w:rPr>
                <w:i/>
              </w:rPr>
              <w:t>Daubert</w:t>
            </w:r>
            <w:r w:rsidR="0045686D" w:rsidRPr="0045686D">
              <w:t xml:space="preserve"> </w:t>
            </w:r>
            <w:r>
              <w:t>motion deadline.</w:t>
            </w:r>
          </w:p>
        </w:tc>
      </w:tr>
      <w:tr w:rsidR="0045686D" w:rsidRPr="0045686D" w14:paraId="40058CF7" w14:textId="77777777" w:rsidTr="00934E5C">
        <w:tc>
          <w:tcPr>
            <w:tcW w:w="2840" w:type="dxa"/>
          </w:tcPr>
          <w:p w14:paraId="4CB0B840" w14:textId="7AAB4792" w:rsidR="0045686D" w:rsidRPr="0045686D" w:rsidRDefault="006D38EC" w:rsidP="0045686D">
            <w:pPr>
              <w:pStyle w:val="BodyTextContinued"/>
            </w:pPr>
            <w:r>
              <w:t>3</w:t>
            </w:r>
            <w:r w:rsidR="00682DC8">
              <w:t>6</w:t>
            </w:r>
            <w:r>
              <w:t xml:space="preserve"> weeks after Markman hearing</w:t>
            </w:r>
          </w:p>
        </w:tc>
        <w:tc>
          <w:tcPr>
            <w:tcW w:w="6245" w:type="dxa"/>
          </w:tcPr>
          <w:p w14:paraId="32995959" w14:textId="0F41184C" w:rsidR="0045686D" w:rsidRPr="0045686D" w:rsidRDefault="0045686D" w:rsidP="0045686D">
            <w:pPr>
              <w:pStyle w:val="BodyTextContinued"/>
            </w:pPr>
            <w:r w:rsidRPr="0045686D">
              <w:t>Serve Pretrial Disclosures</w:t>
            </w:r>
            <w:r w:rsidR="00CD3335">
              <w:t xml:space="preserve"> (</w:t>
            </w:r>
            <w:r w:rsidR="00CD3335" w:rsidRPr="00CD3335">
              <w:t xml:space="preserve">jury instructions, exhibits lists, witness lists, </w:t>
            </w:r>
            <w:r w:rsidR="00BF1B05">
              <w:t xml:space="preserve">discovery and deposition </w:t>
            </w:r>
            <w:r w:rsidR="00CD3335" w:rsidRPr="00CD3335">
              <w:t>designations</w:t>
            </w:r>
            <w:r w:rsidR="00CD3335">
              <w:t>)</w:t>
            </w:r>
            <w:r w:rsidR="00BF1B05">
              <w:t>.</w:t>
            </w:r>
          </w:p>
        </w:tc>
      </w:tr>
      <w:tr w:rsidR="0045686D" w:rsidRPr="0045686D" w14:paraId="1097CA8D" w14:textId="77777777" w:rsidTr="00934E5C">
        <w:tc>
          <w:tcPr>
            <w:tcW w:w="2840" w:type="dxa"/>
          </w:tcPr>
          <w:p w14:paraId="2FFDAD35" w14:textId="17E5B6CF" w:rsidR="0045686D" w:rsidRPr="0045686D" w:rsidRDefault="00FC6F62" w:rsidP="006D38EC">
            <w:pPr>
              <w:pStyle w:val="BodyTextContinued"/>
            </w:pPr>
            <w:r>
              <w:t>3</w:t>
            </w:r>
            <w:r w:rsidR="00682DC8">
              <w:t>8</w:t>
            </w:r>
            <w:r w:rsidR="006D38EC">
              <w:t xml:space="preserve"> weeks after Markman hearing </w:t>
            </w:r>
          </w:p>
        </w:tc>
        <w:tc>
          <w:tcPr>
            <w:tcW w:w="6245" w:type="dxa"/>
          </w:tcPr>
          <w:p w14:paraId="31EA9D0D" w14:textId="022E265B" w:rsidR="0045686D" w:rsidRPr="0045686D" w:rsidRDefault="0045686D" w:rsidP="0045686D">
            <w:pPr>
              <w:pStyle w:val="BodyTextContinued"/>
            </w:pPr>
            <w:r w:rsidRPr="0045686D">
              <w:t>Serve objections to pretrial disclosures/rebuttal disclosures</w:t>
            </w:r>
            <w:r w:rsidR="00BF1B05">
              <w:t>.</w:t>
            </w:r>
          </w:p>
        </w:tc>
      </w:tr>
      <w:tr w:rsidR="0045686D" w:rsidRPr="0045686D" w14:paraId="28DAD99C" w14:textId="77777777" w:rsidTr="00934E5C">
        <w:tc>
          <w:tcPr>
            <w:tcW w:w="2840" w:type="dxa"/>
          </w:tcPr>
          <w:p w14:paraId="2A4239FF" w14:textId="62A2E5F5" w:rsidR="0045686D" w:rsidRPr="0045686D" w:rsidRDefault="00FC6F62" w:rsidP="006D38EC">
            <w:pPr>
              <w:pStyle w:val="BodyTextContinued"/>
            </w:pPr>
            <w:r>
              <w:t>3</w:t>
            </w:r>
            <w:r w:rsidR="00682DC8">
              <w:t>9</w:t>
            </w:r>
            <w:r w:rsidR="006D38EC">
              <w:t xml:space="preserve"> weeks after Markman hearing</w:t>
            </w:r>
          </w:p>
        </w:tc>
        <w:tc>
          <w:tcPr>
            <w:tcW w:w="6245" w:type="dxa"/>
          </w:tcPr>
          <w:p w14:paraId="49B7BD02" w14:textId="60283AA6" w:rsidR="0045686D" w:rsidRPr="0045686D" w:rsidRDefault="0045686D" w:rsidP="0045686D">
            <w:pPr>
              <w:pStyle w:val="BodyTextContinued"/>
            </w:pPr>
            <w:r w:rsidRPr="0045686D">
              <w:t xml:space="preserve">Serve objections to rebuttal disclosures and </w:t>
            </w:r>
            <w:r w:rsidRPr="0045686D">
              <w:rPr>
                <w:b/>
              </w:rPr>
              <w:t>File</w:t>
            </w:r>
            <w:r w:rsidRPr="0045686D">
              <w:t xml:space="preserve"> Motions </w:t>
            </w:r>
            <w:r w:rsidR="006D38EC">
              <w:rPr>
                <w:i/>
              </w:rPr>
              <w:t xml:space="preserve">in </w:t>
            </w:r>
            <w:proofErr w:type="spellStart"/>
            <w:r w:rsidR="006D38EC">
              <w:rPr>
                <w:i/>
              </w:rPr>
              <w:t>l</w:t>
            </w:r>
            <w:r w:rsidRPr="006D38EC">
              <w:rPr>
                <w:i/>
              </w:rPr>
              <w:t>imine</w:t>
            </w:r>
            <w:proofErr w:type="spellEnd"/>
            <w:r w:rsidR="00BF1B05">
              <w:rPr>
                <w:i/>
              </w:rPr>
              <w:t>.</w:t>
            </w:r>
          </w:p>
        </w:tc>
      </w:tr>
      <w:tr w:rsidR="0045686D" w:rsidRPr="0045686D" w14:paraId="2F118CAE" w14:textId="77777777" w:rsidTr="00934E5C">
        <w:tc>
          <w:tcPr>
            <w:tcW w:w="2840" w:type="dxa"/>
          </w:tcPr>
          <w:p w14:paraId="6EDAEE04" w14:textId="1E5CE224" w:rsidR="0045686D" w:rsidRPr="0045686D" w:rsidRDefault="002F7369" w:rsidP="006D38EC">
            <w:pPr>
              <w:pStyle w:val="BodyTextContinued"/>
            </w:pPr>
            <w:r>
              <w:t>40</w:t>
            </w:r>
            <w:r w:rsidR="006D38EC">
              <w:t xml:space="preserve"> weeks after Markman hearing</w:t>
            </w:r>
          </w:p>
        </w:tc>
        <w:tc>
          <w:tcPr>
            <w:tcW w:w="6245" w:type="dxa"/>
          </w:tcPr>
          <w:p w14:paraId="5FEA0012" w14:textId="60DC69A0" w:rsidR="0045686D" w:rsidRPr="0045686D" w:rsidRDefault="0045686D" w:rsidP="0045686D">
            <w:pPr>
              <w:pStyle w:val="BodyTextContinued"/>
            </w:pPr>
            <w:r w:rsidRPr="0045686D">
              <w:t xml:space="preserve">File Joint Pretrial Order and Pretrial Submissions (jury instructions, exhibits lists, witness lists, </w:t>
            </w:r>
            <w:r w:rsidR="00BF1B05">
              <w:t xml:space="preserve">discovery and deposition </w:t>
            </w:r>
            <w:r w:rsidRPr="0045686D">
              <w:t>designations)</w:t>
            </w:r>
            <w:r w:rsidR="006D38EC">
              <w:t>; file o</w:t>
            </w:r>
            <w:r w:rsidR="00682DC8">
              <w:t>ppositions</w:t>
            </w:r>
            <w:r w:rsidR="006D38EC">
              <w:t xml:space="preserve"> to motions </w:t>
            </w:r>
            <w:r w:rsidR="006D38EC" w:rsidRPr="006D38EC">
              <w:rPr>
                <w:i/>
              </w:rPr>
              <w:t xml:space="preserve">in </w:t>
            </w:r>
            <w:proofErr w:type="spellStart"/>
            <w:r w:rsidR="006D38EC" w:rsidRPr="006D38EC">
              <w:rPr>
                <w:i/>
              </w:rPr>
              <w:t>limine</w:t>
            </w:r>
            <w:proofErr w:type="spellEnd"/>
            <w:r w:rsidR="006D38EC">
              <w:t xml:space="preserve"> </w:t>
            </w:r>
          </w:p>
        </w:tc>
      </w:tr>
      <w:tr w:rsidR="0045686D" w:rsidRPr="0045686D" w14:paraId="4455024E" w14:textId="77777777" w:rsidTr="00934E5C">
        <w:tc>
          <w:tcPr>
            <w:tcW w:w="2840" w:type="dxa"/>
          </w:tcPr>
          <w:p w14:paraId="4F4EB664" w14:textId="28797E58" w:rsidR="0045686D" w:rsidRPr="0045686D" w:rsidRDefault="002F7369" w:rsidP="006D38EC">
            <w:pPr>
              <w:pStyle w:val="BodyTextContinued"/>
            </w:pPr>
            <w:r>
              <w:t>41</w:t>
            </w:r>
            <w:r w:rsidR="006D38EC">
              <w:t xml:space="preserve"> weeks after Markman hearing</w:t>
            </w:r>
          </w:p>
        </w:tc>
        <w:tc>
          <w:tcPr>
            <w:tcW w:w="6245" w:type="dxa"/>
          </w:tcPr>
          <w:p w14:paraId="19B80999" w14:textId="77777777" w:rsidR="0045686D" w:rsidRPr="0045686D" w:rsidRDefault="0045686D" w:rsidP="00FC6F62">
            <w:pPr>
              <w:pStyle w:val="BodyTextContinued"/>
            </w:pPr>
            <w:r w:rsidRPr="0045686D">
              <w:t xml:space="preserve">Deadline to meet and confer regarding remaining objections and disputes on motions </w:t>
            </w:r>
            <w:r w:rsidRPr="006D38EC">
              <w:rPr>
                <w:i/>
              </w:rPr>
              <w:t xml:space="preserve">in </w:t>
            </w:r>
            <w:proofErr w:type="spellStart"/>
            <w:r w:rsidRPr="006D38EC">
              <w:rPr>
                <w:i/>
              </w:rPr>
              <w:t>limine</w:t>
            </w:r>
            <w:proofErr w:type="spellEnd"/>
            <w:r w:rsidRPr="0045686D">
              <w:t xml:space="preserve">. </w:t>
            </w:r>
          </w:p>
        </w:tc>
      </w:tr>
      <w:tr w:rsidR="00FC6F62" w:rsidRPr="0045686D" w14:paraId="2D508E56" w14:textId="77777777" w:rsidTr="00934E5C">
        <w:tc>
          <w:tcPr>
            <w:tcW w:w="2840" w:type="dxa"/>
          </w:tcPr>
          <w:p w14:paraId="0C464E5E" w14:textId="77777777" w:rsidR="00FC6F62" w:rsidRDefault="00CD3335" w:rsidP="0045686D">
            <w:pPr>
              <w:pStyle w:val="BodyTextContinued"/>
            </w:pPr>
            <w:r>
              <w:t>3</w:t>
            </w:r>
            <w:r w:rsidR="00FC6F62">
              <w:t xml:space="preserve"> business days before Final Pretrial Conference.</w:t>
            </w:r>
          </w:p>
        </w:tc>
        <w:tc>
          <w:tcPr>
            <w:tcW w:w="6245" w:type="dxa"/>
          </w:tcPr>
          <w:p w14:paraId="0039326F" w14:textId="1490AEA7" w:rsidR="00FC6F62" w:rsidRPr="0045686D" w:rsidRDefault="00682DC8" w:rsidP="00FC6F62">
            <w:pPr>
              <w:pStyle w:val="BodyTextContinued"/>
            </w:pPr>
            <w:r>
              <w:t xml:space="preserve">File joint </w:t>
            </w:r>
            <w:r w:rsidR="00FC6F62" w:rsidRPr="00FC6F62">
              <w:t xml:space="preserve">notice </w:t>
            </w:r>
            <w:r w:rsidR="00FC6F62">
              <w:t>identifying r</w:t>
            </w:r>
            <w:r w:rsidR="00FC6F62" w:rsidRPr="00FC6F62">
              <w:t xml:space="preserve">emaining objections </w:t>
            </w:r>
            <w:r>
              <w:t xml:space="preserve">to pretrial disclosures </w:t>
            </w:r>
            <w:r w:rsidR="00FC6F62" w:rsidRPr="00FC6F62">
              <w:t xml:space="preserve">and disputes on motions </w:t>
            </w:r>
            <w:r w:rsidR="00FC6F62" w:rsidRPr="00FC6F62">
              <w:rPr>
                <w:i/>
              </w:rPr>
              <w:t xml:space="preserve">in </w:t>
            </w:r>
            <w:proofErr w:type="spellStart"/>
            <w:r w:rsidR="00FC6F62" w:rsidRPr="00FC6F62">
              <w:rPr>
                <w:i/>
              </w:rPr>
              <w:t>limine</w:t>
            </w:r>
            <w:proofErr w:type="spellEnd"/>
            <w:r w:rsidR="00FC6F62">
              <w:rPr>
                <w:i/>
              </w:rPr>
              <w:t>.</w:t>
            </w:r>
          </w:p>
        </w:tc>
      </w:tr>
      <w:tr w:rsidR="0045686D" w:rsidRPr="0045686D" w14:paraId="108B911D" w14:textId="77777777" w:rsidTr="00934E5C">
        <w:tc>
          <w:tcPr>
            <w:tcW w:w="2840" w:type="dxa"/>
          </w:tcPr>
          <w:p w14:paraId="06715410" w14:textId="39399A3F" w:rsidR="0045686D" w:rsidRPr="0045686D" w:rsidRDefault="00CD3335" w:rsidP="0045686D">
            <w:pPr>
              <w:pStyle w:val="BodyTextContinued"/>
            </w:pPr>
            <w:r>
              <w:t>4</w:t>
            </w:r>
            <w:r w:rsidR="002F7369">
              <w:t>3</w:t>
            </w:r>
            <w:r w:rsidR="006D38EC">
              <w:t xml:space="preserve"> weeks after Markman hearing</w:t>
            </w:r>
            <w:r w:rsidR="00410BF5">
              <w:t xml:space="preserve"> (or as soon as practicable)</w:t>
            </w:r>
          </w:p>
        </w:tc>
        <w:tc>
          <w:tcPr>
            <w:tcW w:w="6245" w:type="dxa"/>
          </w:tcPr>
          <w:p w14:paraId="44B28B01" w14:textId="784068D8" w:rsidR="0045686D" w:rsidRPr="0045686D" w:rsidRDefault="0045686D" w:rsidP="00410BF5">
            <w:pPr>
              <w:pStyle w:val="BodyTextContinued"/>
            </w:pPr>
            <w:r w:rsidRPr="0045686D">
              <w:t>Final Pretrial Conference</w:t>
            </w:r>
            <w:r w:rsidR="00BF1B05">
              <w:t>.</w:t>
            </w:r>
            <w:r w:rsidR="00410BF5">
              <w:t xml:space="preserve">  </w:t>
            </w:r>
            <w:r w:rsidR="009F1D2E">
              <w:t>The Court expects to set the Pretrial Conference within 2-4 weeks of the trial date.</w:t>
            </w:r>
          </w:p>
        </w:tc>
      </w:tr>
      <w:tr w:rsidR="0045686D" w:rsidRPr="0045686D" w14:paraId="00623815" w14:textId="77777777" w:rsidTr="00934E5C">
        <w:tc>
          <w:tcPr>
            <w:tcW w:w="2840" w:type="dxa"/>
          </w:tcPr>
          <w:p w14:paraId="554AC0A7" w14:textId="49DC8FAC" w:rsidR="0045686D" w:rsidRPr="0045686D" w:rsidRDefault="00CD3335" w:rsidP="006D38EC">
            <w:pPr>
              <w:pStyle w:val="BodyTextContinued"/>
            </w:pPr>
            <w:r>
              <w:t>4</w:t>
            </w:r>
            <w:r w:rsidR="002F7369">
              <w:t>4</w:t>
            </w:r>
            <w:r w:rsidR="00071206">
              <w:t>-4</w:t>
            </w:r>
            <w:r w:rsidR="002F7369">
              <w:t>7</w:t>
            </w:r>
            <w:r w:rsidR="006D38EC">
              <w:t xml:space="preserve"> weeks after Markman hearing</w:t>
            </w:r>
            <w:r w:rsidR="00410BF5">
              <w:t xml:space="preserve"> (or as soon as practicable)</w:t>
            </w:r>
          </w:p>
        </w:tc>
        <w:tc>
          <w:tcPr>
            <w:tcW w:w="6245" w:type="dxa"/>
          </w:tcPr>
          <w:p w14:paraId="2FCDAC92" w14:textId="086BA43E" w:rsidR="0045686D" w:rsidRPr="0045686D" w:rsidRDefault="0045686D" w:rsidP="0045686D">
            <w:pPr>
              <w:pStyle w:val="BodyTextContinued"/>
            </w:pPr>
            <w:r w:rsidRPr="0045686D">
              <w:t>Jury Selection</w:t>
            </w:r>
            <w:r w:rsidR="00071206">
              <w:t>/Trial</w:t>
            </w:r>
            <w:r w:rsidR="00BF1B05">
              <w:t>.</w:t>
            </w:r>
            <w:r w:rsidR="00EC6B78">
              <w:t xml:space="preserve">  </w:t>
            </w:r>
            <w:r w:rsidR="00410BF5" w:rsidRPr="00410BF5">
              <w:t xml:space="preserve">The Court expects to set this date at the conclusion of the </w:t>
            </w:r>
            <w:r w:rsidR="00410BF5" w:rsidRPr="00FF548B">
              <w:rPr>
                <w:i/>
              </w:rPr>
              <w:t>Markman</w:t>
            </w:r>
            <w:r w:rsidR="00410BF5" w:rsidRPr="00410BF5">
              <w:t xml:space="preserve"> Hearing.</w:t>
            </w:r>
          </w:p>
        </w:tc>
      </w:tr>
    </w:tbl>
    <w:p w14:paraId="530E2557" w14:textId="77777777" w:rsidR="00CB5A61" w:rsidRDefault="00CB5A61" w:rsidP="00B51A67">
      <w:pPr>
        <w:pStyle w:val="BodyTextContinued"/>
      </w:pPr>
    </w:p>
    <w:sectPr w:rsidR="00CB5A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47DE" w14:textId="77777777" w:rsidR="0083428E" w:rsidRDefault="0083428E" w:rsidP="008012A1">
      <w:r>
        <w:separator/>
      </w:r>
    </w:p>
  </w:endnote>
  <w:endnote w:type="continuationSeparator" w:id="0">
    <w:p w14:paraId="371BAC48" w14:textId="77777777" w:rsidR="0083428E" w:rsidRDefault="0083428E" w:rsidP="008012A1">
      <w:r>
        <w:continuationSeparator/>
      </w:r>
    </w:p>
  </w:endnote>
  <w:endnote w:type="continuationNotice" w:id="1">
    <w:p w14:paraId="77D477CB" w14:textId="77777777" w:rsidR="0083428E" w:rsidRDefault="00834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690438"/>
      <w:docPartObj>
        <w:docPartGallery w:val="Page Numbers (Bottom of Page)"/>
        <w:docPartUnique/>
      </w:docPartObj>
    </w:sdtPr>
    <w:sdtEndPr>
      <w:rPr>
        <w:noProof/>
      </w:rPr>
    </w:sdtEndPr>
    <w:sdtContent>
      <w:p w14:paraId="214BD17D" w14:textId="7265CB21" w:rsidR="0049448D" w:rsidRDefault="0049448D">
        <w:pPr>
          <w:pStyle w:val="Footer"/>
          <w:jc w:val="center"/>
        </w:pPr>
        <w:r>
          <w:fldChar w:fldCharType="begin"/>
        </w:r>
        <w:r>
          <w:instrText xml:space="preserve"> PAGE   \* MERGEFORMAT </w:instrText>
        </w:r>
        <w:r>
          <w:fldChar w:fldCharType="separate"/>
        </w:r>
        <w:r w:rsidR="00AC045A">
          <w:rPr>
            <w:noProof/>
          </w:rPr>
          <w:t>1</w:t>
        </w:r>
        <w:r>
          <w:rPr>
            <w:noProof/>
          </w:rPr>
          <w:fldChar w:fldCharType="end"/>
        </w:r>
      </w:p>
    </w:sdtContent>
  </w:sdt>
  <w:p w14:paraId="2B2DB76F" w14:textId="77777777" w:rsidR="0049448D" w:rsidRDefault="0049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8471" w14:textId="77777777" w:rsidR="0083428E" w:rsidRDefault="0083428E" w:rsidP="008012A1">
      <w:r>
        <w:separator/>
      </w:r>
    </w:p>
  </w:footnote>
  <w:footnote w:type="continuationSeparator" w:id="0">
    <w:p w14:paraId="65BD930C" w14:textId="77777777" w:rsidR="0083428E" w:rsidRDefault="0083428E" w:rsidP="008012A1">
      <w:r>
        <w:continuationSeparator/>
      </w:r>
    </w:p>
  </w:footnote>
  <w:footnote w:type="continuationNotice" w:id="1">
    <w:p w14:paraId="224FF958" w14:textId="77777777" w:rsidR="0083428E" w:rsidRDefault="0083428E"/>
  </w:footnote>
  <w:footnote w:id="2">
    <w:p w14:paraId="60BB5EC9" w14:textId="77777777" w:rsidR="0049448D" w:rsidRDefault="0049448D">
      <w:pPr>
        <w:pStyle w:val="FootnoteText"/>
      </w:pPr>
      <w:r>
        <w:rPr>
          <w:rStyle w:val="FootnoteReference"/>
        </w:rPr>
        <w:footnoteRef/>
      </w:r>
      <w:r>
        <w:t xml:space="preserve"> For example, if a single technical expert submits reports on both infringement and invalidity, he or she may be deposed for up to 14 hours in total.</w:t>
      </w:r>
    </w:p>
  </w:footnote>
  <w:footnote w:id="3">
    <w:p w14:paraId="0F3027A1" w14:textId="77777777" w:rsidR="0049448D" w:rsidRDefault="0049448D" w:rsidP="0045686D">
      <w:pPr>
        <w:pStyle w:val="FootnoteText"/>
      </w:pPr>
    </w:p>
    <w:p w14:paraId="456D0076" w14:textId="41D67C0C" w:rsidR="0049448D" w:rsidRDefault="0049448D" w:rsidP="0045686D">
      <w:pPr>
        <w:pStyle w:val="FootnoteText"/>
      </w:pPr>
      <w:r>
        <w:rPr>
          <w:rStyle w:val="FootnoteReference"/>
        </w:rPr>
        <w:footnoteRef/>
      </w:r>
      <w:r>
        <w:t xml:space="preserve"> </w:t>
      </w:r>
      <w:r w:rsidRPr="00824A1C">
        <w:t>The parties may amend preliminary infringement contentions and preliminary invalidity contentions without leave of court so long as counsel certifies that it undertook reasonable efforts to prepare its preliminary contentions and the amendment is based on material identified after those preliminary contentions were served</w:t>
      </w:r>
      <w:r>
        <w:t xml:space="preserve"> and should do so seasonably upon identifying any such material</w:t>
      </w:r>
      <w:r w:rsidRPr="00824A1C">
        <w:t>.  Any amendment to add claims requires leave of court so that the Court can address any scheduling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9F82" w14:textId="77777777" w:rsidR="0049448D" w:rsidRDefault="0049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468F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FA72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72D2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487A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BCF8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DAB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6AF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016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38BD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EC2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8745A"/>
    <w:multiLevelType w:val="hybridMultilevel"/>
    <w:tmpl w:val="F6024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5A7C13"/>
    <w:multiLevelType w:val="hybridMultilevel"/>
    <w:tmpl w:val="860A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53DFD"/>
    <w:multiLevelType w:val="hybridMultilevel"/>
    <w:tmpl w:val="AFD88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0E76E8"/>
    <w:multiLevelType w:val="hybridMultilevel"/>
    <w:tmpl w:val="EBFCAA8E"/>
    <w:lvl w:ilvl="0" w:tplc="1EDAD114">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2440F"/>
    <w:multiLevelType w:val="hybridMultilevel"/>
    <w:tmpl w:val="5D2861C6"/>
    <w:lvl w:ilvl="0" w:tplc="90103E2C">
      <w:start w:val="1"/>
      <w:numFmt w:val="decimal"/>
      <w:pStyle w:val="Headi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420C9E"/>
    <w:multiLevelType w:val="hybridMultilevel"/>
    <w:tmpl w:val="88D0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F6082"/>
    <w:multiLevelType w:val="hybridMultilevel"/>
    <w:tmpl w:val="4DFE5C5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601D0F60"/>
    <w:multiLevelType w:val="hybridMultilevel"/>
    <w:tmpl w:val="0074A8BE"/>
    <w:lvl w:ilvl="0" w:tplc="AA9E1D3A">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3913E0"/>
    <w:multiLevelType w:val="hybridMultilevel"/>
    <w:tmpl w:val="4F1AF0B0"/>
    <w:lvl w:ilvl="0" w:tplc="020CD19C">
      <w:start w:val="1"/>
      <w:numFmt w:val="lowerRoman"/>
      <w:pStyle w:val="Heading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1CC6061"/>
    <w:multiLevelType w:val="hybridMultilevel"/>
    <w:tmpl w:val="797CEB16"/>
    <w:lvl w:ilvl="0" w:tplc="2CF0644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EB1A0E"/>
    <w:multiLevelType w:val="hybridMultilevel"/>
    <w:tmpl w:val="5C6CFEFE"/>
    <w:lvl w:ilvl="0" w:tplc="9AC03E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3"/>
  </w:num>
  <w:num w:numId="3">
    <w:abstractNumId w:val="20"/>
  </w:num>
  <w:num w:numId="4">
    <w:abstractNumId w:val="19"/>
  </w:num>
  <w:num w:numId="5">
    <w:abstractNumId w:val="13"/>
  </w:num>
  <w:num w:numId="6">
    <w:abstractNumId w:val="20"/>
  </w:num>
  <w:num w:numId="7">
    <w:abstractNumId w:val="17"/>
  </w:num>
  <w:num w:numId="8">
    <w:abstractNumId w:val="14"/>
  </w:num>
  <w:num w:numId="9">
    <w:abstractNumId w:val="14"/>
  </w:num>
  <w:num w:numId="10">
    <w:abstractNumId w:val="17"/>
  </w:num>
  <w:num w:numId="11">
    <w:abstractNumId w:val="18"/>
  </w:num>
  <w:num w:numId="12">
    <w:abstractNumId w:val="18"/>
  </w:num>
  <w:num w:numId="13">
    <w:abstractNumId w:val="14"/>
  </w:num>
  <w:num w:numId="14">
    <w:abstractNumId w:val="14"/>
  </w:num>
  <w:num w:numId="15">
    <w:abstractNumId w:val="17"/>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8"/>
  </w:num>
  <w:num w:numId="23">
    <w:abstractNumId w:val="14"/>
  </w:num>
  <w:num w:numId="24">
    <w:abstractNumId w:val="17"/>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6"/>
  </w:num>
  <w:num w:numId="38">
    <w:abstractNumId w:val="11"/>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DC"/>
    <w:rsid w:val="00001700"/>
    <w:rsid w:val="000052B7"/>
    <w:rsid w:val="000102AF"/>
    <w:rsid w:val="0002141E"/>
    <w:rsid w:val="00027295"/>
    <w:rsid w:val="00033856"/>
    <w:rsid w:val="0006737B"/>
    <w:rsid w:val="00071206"/>
    <w:rsid w:val="00080518"/>
    <w:rsid w:val="000967E0"/>
    <w:rsid w:val="000A370F"/>
    <w:rsid w:val="000A4152"/>
    <w:rsid w:val="000A5A7C"/>
    <w:rsid w:val="000B431D"/>
    <w:rsid w:val="000B4FCD"/>
    <w:rsid w:val="00127D79"/>
    <w:rsid w:val="00157A9E"/>
    <w:rsid w:val="00185D2F"/>
    <w:rsid w:val="0018695A"/>
    <w:rsid w:val="001A265C"/>
    <w:rsid w:val="001B481F"/>
    <w:rsid w:val="001E640E"/>
    <w:rsid w:val="00202134"/>
    <w:rsid w:val="00217F10"/>
    <w:rsid w:val="00231A63"/>
    <w:rsid w:val="00240374"/>
    <w:rsid w:val="00240E9A"/>
    <w:rsid w:val="0029334B"/>
    <w:rsid w:val="002B4BE0"/>
    <w:rsid w:val="002B634D"/>
    <w:rsid w:val="002F7369"/>
    <w:rsid w:val="00332F8B"/>
    <w:rsid w:val="00373C4C"/>
    <w:rsid w:val="0038156E"/>
    <w:rsid w:val="00397B04"/>
    <w:rsid w:val="003A1610"/>
    <w:rsid w:val="003B056C"/>
    <w:rsid w:val="003D7D9E"/>
    <w:rsid w:val="003F3F5D"/>
    <w:rsid w:val="003F7B9A"/>
    <w:rsid w:val="00401AF2"/>
    <w:rsid w:val="00404912"/>
    <w:rsid w:val="00410BF5"/>
    <w:rsid w:val="00426D29"/>
    <w:rsid w:val="0045686D"/>
    <w:rsid w:val="004572FC"/>
    <w:rsid w:val="00477ACF"/>
    <w:rsid w:val="00490E19"/>
    <w:rsid w:val="0049448D"/>
    <w:rsid w:val="004A08C8"/>
    <w:rsid w:val="004A5B1B"/>
    <w:rsid w:val="004B331A"/>
    <w:rsid w:val="004B639B"/>
    <w:rsid w:val="004C27A5"/>
    <w:rsid w:val="004D17CF"/>
    <w:rsid w:val="00503668"/>
    <w:rsid w:val="005076DC"/>
    <w:rsid w:val="00516D37"/>
    <w:rsid w:val="00523AF4"/>
    <w:rsid w:val="005241ED"/>
    <w:rsid w:val="00525E63"/>
    <w:rsid w:val="00551292"/>
    <w:rsid w:val="005813F6"/>
    <w:rsid w:val="00585E97"/>
    <w:rsid w:val="005C60B6"/>
    <w:rsid w:val="00600638"/>
    <w:rsid w:val="0060347D"/>
    <w:rsid w:val="00633693"/>
    <w:rsid w:val="00635F27"/>
    <w:rsid w:val="00661E99"/>
    <w:rsid w:val="00682DC8"/>
    <w:rsid w:val="00686AA6"/>
    <w:rsid w:val="006D38EC"/>
    <w:rsid w:val="006F3923"/>
    <w:rsid w:val="00750F94"/>
    <w:rsid w:val="00771920"/>
    <w:rsid w:val="00784A91"/>
    <w:rsid w:val="007B7F1D"/>
    <w:rsid w:val="007C61AB"/>
    <w:rsid w:val="007D2CA0"/>
    <w:rsid w:val="007D4652"/>
    <w:rsid w:val="007D7B61"/>
    <w:rsid w:val="007E5D19"/>
    <w:rsid w:val="008012A1"/>
    <w:rsid w:val="00814DB1"/>
    <w:rsid w:val="0083428E"/>
    <w:rsid w:val="00855D95"/>
    <w:rsid w:val="008A16DE"/>
    <w:rsid w:val="008A4DA7"/>
    <w:rsid w:val="00914125"/>
    <w:rsid w:val="00922D0D"/>
    <w:rsid w:val="009322A2"/>
    <w:rsid w:val="00934E5C"/>
    <w:rsid w:val="00950EDF"/>
    <w:rsid w:val="00953E26"/>
    <w:rsid w:val="009D2311"/>
    <w:rsid w:val="009D5BAC"/>
    <w:rsid w:val="009F1D2E"/>
    <w:rsid w:val="009F2215"/>
    <w:rsid w:val="00A1463C"/>
    <w:rsid w:val="00A202BE"/>
    <w:rsid w:val="00A37703"/>
    <w:rsid w:val="00A41352"/>
    <w:rsid w:val="00A540DE"/>
    <w:rsid w:val="00A733A1"/>
    <w:rsid w:val="00AA5244"/>
    <w:rsid w:val="00AA6A1A"/>
    <w:rsid w:val="00AB0EA9"/>
    <w:rsid w:val="00AB3EDF"/>
    <w:rsid w:val="00AC045A"/>
    <w:rsid w:val="00AC477F"/>
    <w:rsid w:val="00AE4A12"/>
    <w:rsid w:val="00AE6809"/>
    <w:rsid w:val="00AF405F"/>
    <w:rsid w:val="00B260AB"/>
    <w:rsid w:val="00B51A67"/>
    <w:rsid w:val="00B555A5"/>
    <w:rsid w:val="00B67EA0"/>
    <w:rsid w:val="00B82A65"/>
    <w:rsid w:val="00BF1B05"/>
    <w:rsid w:val="00BF72E8"/>
    <w:rsid w:val="00C12E82"/>
    <w:rsid w:val="00C41B03"/>
    <w:rsid w:val="00C5118D"/>
    <w:rsid w:val="00C516DB"/>
    <w:rsid w:val="00C81B64"/>
    <w:rsid w:val="00C942B3"/>
    <w:rsid w:val="00CA25C8"/>
    <w:rsid w:val="00CB5A61"/>
    <w:rsid w:val="00CC0562"/>
    <w:rsid w:val="00CD3335"/>
    <w:rsid w:val="00CD49BD"/>
    <w:rsid w:val="00CD6FD8"/>
    <w:rsid w:val="00CE512F"/>
    <w:rsid w:val="00D22A2E"/>
    <w:rsid w:val="00D327EB"/>
    <w:rsid w:val="00D43CC0"/>
    <w:rsid w:val="00D87CBF"/>
    <w:rsid w:val="00DA0458"/>
    <w:rsid w:val="00DC16AB"/>
    <w:rsid w:val="00DC3BA6"/>
    <w:rsid w:val="00E01528"/>
    <w:rsid w:val="00E07B05"/>
    <w:rsid w:val="00E124EB"/>
    <w:rsid w:val="00E705C9"/>
    <w:rsid w:val="00E74993"/>
    <w:rsid w:val="00EC6B78"/>
    <w:rsid w:val="00EC6E3E"/>
    <w:rsid w:val="00F600D8"/>
    <w:rsid w:val="00F63842"/>
    <w:rsid w:val="00F73999"/>
    <w:rsid w:val="00F97197"/>
    <w:rsid w:val="00FC6F62"/>
    <w:rsid w:val="00FF548B"/>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1A2F"/>
  <w15:docId w15:val="{2B7D0E3E-D6CC-4BFB-8B85-AE5D3AB1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BF"/>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paragraph" w:styleId="Heading4">
    <w:name w:val="heading 4"/>
    <w:basedOn w:val="Normal"/>
    <w:next w:val="Normal"/>
    <w:link w:val="Heading4Char"/>
    <w:uiPriority w:val="9"/>
    <w:semiHidden/>
    <w:qFormat/>
    <w:rsid w:val="00E705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5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5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D87CBF"/>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D87CBF"/>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D87CBF"/>
    <w:pPr>
      <w:ind w:firstLine="0"/>
    </w:pPr>
    <w:rPr>
      <w:szCs w:val="20"/>
    </w:rPr>
  </w:style>
  <w:style w:type="paragraph" w:styleId="Header">
    <w:name w:val="header"/>
    <w:basedOn w:val="Normal"/>
    <w:link w:val="HeaderChar"/>
    <w:rsid w:val="00D87CBF"/>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uiPriority w:val="99"/>
    <w:rsid w:val="00D87CBF"/>
    <w:pPr>
      <w:tabs>
        <w:tab w:val="center" w:pos="4680"/>
        <w:tab w:val="right" w:pos="9360"/>
      </w:tabs>
    </w:pPr>
  </w:style>
  <w:style w:type="character" w:customStyle="1" w:styleId="FooterChar">
    <w:name w:val="Footer Char"/>
    <w:basedOn w:val="DefaultParagraphFont"/>
    <w:link w:val="Footer"/>
    <w:uiPriority w:val="99"/>
    <w:rsid w:val="00523AF4"/>
    <w:rPr>
      <w:rFonts w:ascii="Times New Roman" w:hAnsi="Times New Roman" w:cs="Times New Roman"/>
    </w:rPr>
  </w:style>
  <w:style w:type="character" w:styleId="PageNumber">
    <w:name w:val="page number"/>
    <w:basedOn w:val="DefaultParagraphFont"/>
    <w:rsid w:val="00D87CBF"/>
  </w:style>
  <w:style w:type="paragraph" w:styleId="BalloonText">
    <w:name w:val="Balloon Text"/>
    <w:basedOn w:val="Normal"/>
    <w:link w:val="BalloonTextChar"/>
    <w:uiPriority w:val="99"/>
    <w:semiHidden/>
    <w:unhideWhenUsed/>
    <w:rsid w:val="00E705C9"/>
    <w:rPr>
      <w:rFonts w:ascii="Tahoma" w:hAnsi="Tahoma" w:cs="Tahoma"/>
      <w:sz w:val="16"/>
      <w:szCs w:val="16"/>
    </w:rPr>
  </w:style>
  <w:style w:type="character" w:customStyle="1" w:styleId="BalloonTextChar">
    <w:name w:val="Balloon Text Char"/>
    <w:basedOn w:val="DefaultParagraphFont"/>
    <w:link w:val="BalloonText"/>
    <w:uiPriority w:val="99"/>
    <w:semiHidden/>
    <w:rsid w:val="00E705C9"/>
    <w:rPr>
      <w:rFonts w:ascii="Tahoma" w:hAnsi="Tahoma" w:cs="Tahoma"/>
      <w:sz w:val="16"/>
      <w:szCs w:val="16"/>
    </w:rPr>
  </w:style>
  <w:style w:type="paragraph" w:styleId="Bibliography">
    <w:name w:val="Bibliography"/>
    <w:basedOn w:val="Normal"/>
    <w:next w:val="Normal"/>
    <w:uiPriority w:val="37"/>
    <w:semiHidden/>
    <w:unhideWhenUsed/>
    <w:rsid w:val="00E705C9"/>
  </w:style>
  <w:style w:type="paragraph" w:styleId="BlockText">
    <w:name w:val="Block Text"/>
    <w:basedOn w:val="Normal"/>
    <w:uiPriority w:val="99"/>
    <w:semiHidden/>
    <w:unhideWhenUsed/>
    <w:rsid w:val="00E705C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705C9"/>
    <w:pPr>
      <w:spacing w:after="120" w:line="480" w:lineRule="auto"/>
    </w:pPr>
  </w:style>
  <w:style w:type="character" w:customStyle="1" w:styleId="BodyText2Char">
    <w:name w:val="Body Text 2 Char"/>
    <w:basedOn w:val="DefaultParagraphFont"/>
    <w:link w:val="BodyText2"/>
    <w:uiPriority w:val="99"/>
    <w:semiHidden/>
    <w:rsid w:val="00E705C9"/>
    <w:rPr>
      <w:rFonts w:ascii="Times New Roman" w:hAnsi="Times New Roman" w:cs="Times New Roman"/>
    </w:rPr>
  </w:style>
  <w:style w:type="paragraph" w:styleId="BodyText3">
    <w:name w:val="Body Text 3"/>
    <w:basedOn w:val="Normal"/>
    <w:link w:val="BodyText3Char"/>
    <w:uiPriority w:val="99"/>
    <w:semiHidden/>
    <w:unhideWhenUsed/>
    <w:rsid w:val="00E705C9"/>
    <w:pPr>
      <w:spacing w:after="120"/>
    </w:pPr>
    <w:rPr>
      <w:sz w:val="16"/>
      <w:szCs w:val="16"/>
    </w:rPr>
  </w:style>
  <w:style w:type="character" w:customStyle="1" w:styleId="BodyText3Char">
    <w:name w:val="Body Text 3 Char"/>
    <w:basedOn w:val="DefaultParagraphFont"/>
    <w:link w:val="BodyText3"/>
    <w:uiPriority w:val="99"/>
    <w:semiHidden/>
    <w:rsid w:val="00E705C9"/>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705C9"/>
    <w:pPr>
      <w:spacing w:after="0"/>
      <w:ind w:firstLine="360"/>
    </w:pPr>
  </w:style>
  <w:style w:type="character" w:customStyle="1" w:styleId="BodyTextFirstIndentChar">
    <w:name w:val="Body Text First Indent Char"/>
    <w:basedOn w:val="BodyTextChar"/>
    <w:link w:val="BodyTextFirstIndent"/>
    <w:uiPriority w:val="99"/>
    <w:semiHidden/>
    <w:rsid w:val="00E705C9"/>
    <w:rPr>
      <w:rFonts w:ascii="Times New Roman" w:hAnsi="Times New Roman" w:cs="Times New Roman"/>
    </w:rPr>
  </w:style>
  <w:style w:type="paragraph" w:styleId="BodyTextIndent">
    <w:name w:val="Body Text Indent"/>
    <w:basedOn w:val="Normal"/>
    <w:link w:val="BodyTextIndentChar"/>
    <w:uiPriority w:val="99"/>
    <w:semiHidden/>
    <w:unhideWhenUsed/>
    <w:rsid w:val="00E705C9"/>
    <w:pPr>
      <w:spacing w:after="120"/>
      <w:ind w:left="360"/>
    </w:pPr>
  </w:style>
  <w:style w:type="character" w:customStyle="1" w:styleId="BodyTextIndentChar">
    <w:name w:val="Body Text Indent Char"/>
    <w:basedOn w:val="DefaultParagraphFont"/>
    <w:link w:val="BodyTextIndent"/>
    <w:uiPriority w:val="99"/>
    <w:semiHidden/>
    <w:rsid w:val="00E705C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E705C9"/>
    <w:pPr>
      <w:spacing w:after="0"/>
      <w:ind w:firstLine="360"/>
    </w:pPr>
  </w:style>
  <w:style w:type="character" w:customStyle="1" w:styleId="BodyTextFirstIndent2Char">
    <w:name w:val="Body Text First Indent 2 Char"/>
    <w:basedOn w:val="BodyTextIndentChar"/>
    <w:link w:val="BodyTextFirstIndent2"/>
    <w:uiPriority w:val="99"/>
    <w:semiHidden/>
    <w:rsid w:val="00E705C9"/>
    <w:rPr>
      <w:rFonts w:ascii="Times New Roman" w:hAnsi="Times New Roman" w:cs="Times New Roman"/>
    </w:rPr>
  </w:style>
  <w:style w:type="paragraph" w:styleId="BodyTextIndent2">
    <w:name w:val="Body Text Indent 2"/>
    <w:basedOn w:val="Normal"/>
    <w:link w:val="BodyTextIndent2Char"/>
    <w:uiPriority w:val="99"/>
    <w:semiHidden/>
    <w:unhideWhenUsed/>
    <w:rsid w:val="00E705C9"/>
    <w:pPr>
      <w:spacing w:after="120" w:line="480" w:lineRule="auto"/>
      <w:ind w:left="360"/>
    </w:pPr>
  </w:style>
  <w:style w:type="character" w:customStyle="1" w:styleId="BodyTextIndent2Char">
    <w:name w:val="Body Text Indent 2 Char"/>
    <w:basedOn w:val="DefaultParagraphFont"/>
    <w:link w:val="BodyTextIndent2"/>
    <w:uiPriority w:val="99"/>
    <w:semiHidden/>
    <w:rsid w:val="00E705C9"/>
    <w:rPr>
      <w:rFonts w:ascii="Times New Roman" w:hAnsi="Times New Roman" w:cs="Times New Roman"/>
    </w:rPr>
  </w:style>
  <w:style w:type="paragraph" w:styleId="BodyTextIndent3">
    <w:name w:val="Body Text Indent 3"/>
    <w:basedOn w:val="Normal"/>
    <w:link w:val="BodyTextIndent3Char"/>
    <w:uiPriority w:val="99"/>
    <w:semiHidden/>
    <w:unhideWhenUsed/>
    <w:rsid w:val="00E705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5C9"/>
    <w:rPr>
      <w:rFonts w:ascii="Times New Roman" w:hAnsi="Times New Roman" w:cs="Times New Roman"/>
      <w:sz w:val="16"/>
      <w:szCs w:val="16"/>
    </w:rPr>
  </w:style>
  <w:style w:type="paragraph" w:styleId="Caption">
    <w:name w:val="caption"/>
    <w:basedOn w:val="Normal"/>
    <w:next w:val="Normal"/>
    <w:uiPriority w:val="35"/>
    <w:semiHidden/>
    <w:unhideWhenUsed/>
    <w:qFormat/>
    <w:rsid w:val="00E705C9"/>
    <w:pPr>
      <w:spacing w:after="200"/>
    </w:pPr>
    <w:rPr>
      <w:b/>
      <w:bCs/>
      <w:color w:val="4F81BD" w:themeColor="accent1"/>
      <w:sz w:val="18"/>
      <w:szCs w:val="18"/>
    </w:rPr>
  </w:style>
  <w:style w:type="paragraph" w:styleId="Closing">
    <w:name w:val="Closing"/>
    <w:basedOn w:val="Normal"/>
    <w:link w:val="ClosingChar"/>
    <w:uiPriority w:val="99"/>
    <w:semiHidden/>
    <w:unhideWhenUsed/>
    <w:rsid w:val="00E705C9"/>
    <w:pPr>
      <w:ind w:left="4320"/>
    </w:pPr>
  </w:style>
  <w:style w:type="character" w:customStyle="1" w:styleId="ClosingChar">
    <w:name w:val="Closing Char"/>
    <w:basedOn w:val="DefaultParagraphFont"/>
    <w:link w:val="Closing"/>
    <w:uiPriority w:val="99"/>
    <w:semiHidden/>
    <w:rsid w:val="00E705C9"/>
    <w:rPr>
      <w:rFonts w:ascii="Times New Roman" w:hAnsi="Times New Roman" w:cs="Times New Roman"/>
    </w:rPr>
  </w:style>
  <w:style w:type="paragraph" w:styleId="CommentText">
    <w:name w:val="annotation text"/>
    <w:basedOn w:val="Normal"/>
    <w:link w:val="CommentTextChar"/>
    <w:uiPriority w:val="99"/>
    <w:semiHidden/>
    <w:unhideWhenUsed/>
    <w:rsid w:val="00E705C9"/>
    <w:rPr>
      <w:sz w:val="20"/>
      <w:szCs w:val="20"/>
    </w:rPr>
  </w:style>
  <w:style w:type="character" w:customStyle="1" w:styleId="CommentTextChar">
    <w:name w:val="Comment Text Char"/>
    <w:basedOn w:val="DefaultParagraphFont"/>
    <w:link w:val="CommentText"/>
    <w:uiPriority w:val="99"/>
    <w:semiHidden/>
    <w:rsid w:val="00E70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5C9"/>
    <w:rPr>
      <w:b/>
      <w:bCs/>
    </w:rPr>
  </w:style>
  <w:style w:type="character" w:customStyle="1" w:styleId="CommentSubjectChar">
    <w:name w:val="Comment Subject Char"/>
    <w:basedOn w:val="CommentTextChar"/>
    <w:link w:val="CommentSubject"/>
    <w:uiPriority w:val="99"/>
    <w:semiHidden/>
    <w:rsid w:val="00E705C9"/>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E705C9"/>
  </w:style>
  <w:style w:type="character" w:customStyle="1" w:styleId="DateChar">
    <w:name w:val="Date Char"/>
    <w:basedOn w:val="DefaultParagraphFont"/>
    <w:link w:val="Date"/>
    <w:uiPriority w:val="99"/>
    <w:semiHidden/>
    <w:rsid w:val="00E705C9"/>
    <w:rPr>
      <w:rFonts w:ascii="Times New Roman" w:hAnsi="Times New Roman" w:cs="Times New Roman"/>
    </w:rPr>
  </w:style>
  <w:style w:type="paragraph" w:styleId="DocumentMap">
    <w:name w:val="Document Map"/>
    <w:basedOn w:val="Normal"/>
    <w:link w:val="DocumentMapChar"/>
    <w:uiPriority w:val="99"/>
    <w:semiHidden/>
    <w:unhideWhenUsed/>
    <w:rsid w:val="00E705C9"/>
    <w:rPr>
      <w:rFonts w:ascii="Tahoma" w:hAnsi="Tahoma" w:cs="Tahoma"/>
      <w:sz w:val="16"/>
      <w:szCs w:val="16"/>
    </w:rPr>
  </w:style>
  <w:style w:type="character" w:customStyle="1" w:styleId="DocumentMapChar">
    <w:name w:val="Document Map Char"/>
    <w:basedOn w:val="DefaultParagraphFont"/>
    <w:link w:val="DocumentMap"/>
    <w:uiPriority w:val="99"/>
    <w:semiHidden/>
    <w:rsid w:val="00E705C9"/>
    <w:rPr>
      <w:rFonts w:ascii="Tahoma" w:hAnsi="Tahoma" w:cs="Tahoma"/>
      <w:sz w:val="16"/>
      <w:szCs w:val="16"/>
    </w:rPr>
  </w:style>
  <w:style w:type="paragraph" w:styleId="E-mailSignature">
    <w:name w:val="E-mail Signature"/>
    <w:basedOn w:val="Normal"/>
    <w:link w:val="E-mailSignatureChar"/>
    <w:uiPriority w:val="99"/>
    <w:semiHidden/>
    <w:unhideWhenUsed/>
    <w:rsid w:val="00E705C9"/>
  </w:style>
  <w:style w:type="character" w:customStyle="1" w:styleId="E-mailSignatureChar">
    <w:name w:val="E-mail Signature Char"/>
    <w:basedOn w:val="DefaultParagraphFont"/>
    <w:link w:val="E-mailSignature"/>
    <w:uiPriority w:val="99"/>
    <w:semiHidden/>
    <w:rsid w:val="00E705C9"/>
    <w:rPr>
      <w:rFonts w:ascii="Times New Roman" w:hAnsi="Times New Roman" w:cs="Times New Roman"/>
    </w:rPr>
  </w:style>
  <w:style w:type="paragraph" w:styleId="EndnoteText">
    <w:name w:val="endnote text"/>
    <w:basedOn w:val="Normal"/>
    <w:link w:val="EndnoteTextChar"/>
    <w:uiPriority w:val="99"/>
    <w:semiHidden/>
    <w:unhideWhenUsed/>
    <w:rsid w:val="00E705C9"/>
    <w:rPr>
      <w:sz w:val="20"/>
      <w:szCs w:val="20"/>
    </w:rPr>
  </w:style>
  <w:style w:type="character" w:customStyle="1" w:styleId="EndnoteTextChar">
    <w:name w:val="Endnote Text Char"/>
    <w:basedOn w:val="DefaultParagraphFont"/>
    <w:link w:val="EndnoteText"/>
    <w:uiPriority w:val="99"/>
    <w:semiHidden/>
    <w:rsid w:val="00E705C9"/>
    <w:rPr>
      <w:rFonts w:ascii="Times New Roman" w:hAnsi="Times New Roman" w:cs="Times New Roman"/>
      <w:sz w:val="20"/>
      <w:szCs w:val="20"/>
    </w:rPr>
  </w:style>
  <w:style w:type="paragraph" w:styleId="EnvelopeAddress">
    <w:name w:val="envelope address"/>
    <w:basedOn w:val="Normal"/>
    <w:uiPriority w:val="99"/>
    <w:semiHidden/>
    <w:unhideWhenUsed/>
    <w:rsid w:val="00E705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705C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705C9"/>
    <w:rPr>
      <w:sz w:val="20"/>
      <w:szCs w:val="20"/>
    </w:rPr>
  </w:style>
  <w:style w:type="character" w:customStyle="1" w:styleId="FootnoteTextChar">
    <w:name w:val="Footnote Text Char"/>
    <w:basedOn w:val="DefaultParagraphFont"/>
    <w:link w:val="FootnoteText"/>
    <w:uiPriority w:val="99"/>
    <w:semiHidden/>
    <w:rsid w:val="00E705C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E705C9"/>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E705C9"/>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E705C9"/>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E705C9"/>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E705C9"/>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5C9"/>
    <w:rPr>
      <w:rFonts w:eastAsiaTheme="majorEastAsia"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705C9"/>
    <w:rPr>
      <w:i/>
      <w:iCs/>
    </w:rPr>
  </w:style>
  <w:style w:type="character" w:customStyle="1" w:styleId="HTMLAddressChar">
    <w:name w:val="HTML Address Char"/>
    <w:basedOn w:val="DefaultParagraphFont"/>
    <w:link w:val="HTMLAddress"/>
    <w:uiPriority w:val="99"/>
    <w:semiHidden/>
    <w:rsid w:val="00E705C9"/>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E705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05C9"/>
    <w:rPr>
      <w:rFonts w:ascii="Consolas" w:hAnsi="Consolas" w:cs="Consolas"/>
      <w:sz w:val="20"/>
      <w:szCs w:val="20"/>
    </w:rPr>
  </w:style>
  <w:style w:type="paragraph" w:styleId="Index1">
    <w:name w:val="index 1"/>
    <w:basedOn w:val="Normal"/>
    <w:next w:val="Normal"/>
    <w:autoRedefine/>
    <w:uiPriority w:val="99"/>
    <w:semiHidden/>
    <w:unhideWhenUsed/>
    <w:rsid w:val="00E705C9"/>
    <w:pPr>
      <w:ind w:left="240" w:hanging="240"/>
    </w:pPr>
  </w:style>
  <w:style w:type="paragraph" w:styleId="Index2">
    <w:name w:val="index 2"/>
    <w:basedOn w:val="Normal"/>
    <w:next w:val="Normal"/>
    <w:autoRedefine/>
    <w:uiPriority w:val="99"/>
    <w:semiHidden/>
    <w:unhideWhenUsed/>
    <w:rsid w:val="00E705C9"/>
    <w:pPr>
      <w:ind w:left="480" w:hanging="240"/>
    </w:pPr>
  </w:style>
  <w:style w:type="paragraph" w:styleId="Index3">
    <w:name w:val="index 3"/>
    <w:basedOn w:val="Normal"/>
    <w:next w:val="Normal"/>
    <w:autoRedefine/>
    <w:uiPriority w:val="99"/>
    <w:semiHidden/>
    <w:unhideWhenUsed/>
    <w:rsid w:val="00E705C9"/>
    <w:pPr>
      <w:ind w:left="720" w:hanging="240"/>
    </w:pPr>
  </w:style>
  <w:style w:type="paragraph" w:styleId="Index4">
    <w:name w:val="index 4"/>
    <w:basedOn w:val="Normal"/>
    <w:next w:val="Normal"/>
    <w:autoRedefine/>
    <w:uiPriority w:val="99"/>
    <w:semiHidden/>
    <w:unhideWhenUsed/>
    <w:rsid w:val="00E705C9"/>
    <w:pPr>
      <w:ind w:left="960" w:hanging="240"/>
    </w:pPr>
  </w:style>
  <w:style w:type="paragraph" w:styleId="Index5">
    <w:name w:val="index 5"/>
    <w:basedOn w:val="Normal"/>
    <w:next w:val="Normal"/>
    <w:autoRedefine/>
    <w:uiPriority w:val="99"/>
    <w:semiHidden/>
    <w:unhideWhenUsed/>
    <w:rsid w:val="00E705C9"/>
    <w:pPr>
      <w:ind w:left="1200" w:hanging="240"/>
    </w:pPr>
  </w:style>
  <w:style w:type="paragraph" w:styleId="Index6">
    <w:name w:val="index 6"/>
    <w:basedOn w:val="Normal"/>
    <w:next w:val="Normal"/>
    <w:autoRedefine/>
    <w:uiPriority w:val="99"/>
    <w:semiHidden/>
    <w:unhideWhenUsed/>
    <w:rsid w:val="00E705C9"/>
    <w:pPr>
      <w:ind w:left="1440" w:hanging="240"/>
    </w:pPr>
  </w:style>
  <w:style w:type="paragraph" w:styleId="Index7">
    <w:name w:val="index 7"/>
    <w:basedOn w:val="Normal"/>
    <w:next w:val="Normal"/>
    <w:autoRedefine/>
    <w:uiPriority w:val="99"/>
    <w:semiHidden/>
    <w:unhideWhenUsed/>
    <w:rsid w:val="00E705C9"/>
    <w:pPr>
      <w:ind w:left="1680" w:hanging="240"/>
    </w:pPr>
  </w:style>
  <w:style w:type="paragraph" w:styleId="Index8">
    <w:name w:val="index 8"/>
    <w:basedOn w:val="Normal"/>
    <w:next w:val="Normal"/>
    <w:autoRedefine/>
    <w:uiPriority w:val="99"/>
    <w:semiHidden/>
    <w:unhideWhenUsed/>
    <w:rsid w:val="00E705C9"/>
    <w:pPr>
      <w:ind w:left="1920" w:hanging="240"/>
    </w:pPr>
  </w:style>
  <w:style w:type="paragraph" w:styleId="Index9">
    <w:name w:val="index 9"/>
    <w:basedOn w:val="Normal"/>
    <w:next w:val="Normal"/>
    <w:autoRedefine/>
    <w:uiPriority w:val="99"/>
    <w:semiHidden/>
    <w:unhideWhenUsed/>
    <w:rsid w:val="00E705C9"/>
    <w:pPr>
      <w:ind w:left="2160" w:hanging="240"/>
    </w:pPr>
  </w:style>
  <w:style w:type="paragraph" w:styleId="IndexHeading">
    <w:name w:val="index heading"/>
    <w:basedOn w:val="Normal"/>
    <w:next w:val="Index1"/>
    <w:uiPriority w:val="99"/>
    <w:semiHidden/>
    <w:unhideWhenUsed/>
    <w:rsid w:val="00E705C9"/>
    <w:rPr>
      <w:rFonts w:asciiTheme="majorHAnsi" w:eastAsiaTheme="majorEastAsia" w:hAnsiTheme="majorHAnsi" w:cstheme="majorBidi"/>
      <w:b/>
      <w:bCs/>
    </w:rPr>
  </w:style>
  <w:style w:type="paragraph" w:styleId="IntenseQuote">
    <w:name w:val="Intense Quote"/>
    <w:basedOn w:val="Normal"/>
    <w:next w:val="Normal"/>
    <w:link w:val="IntenseQuoteChar"/>
    <w:uiPriority w:val="29"/>
    <w:semiHidden/>
    <w:qFormat/>
    <w:rsid w:val="00E70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29"/>
    <w:semiHidden/>
    <w:rsid w:val="00E705C9"/>
    <w:rPr>
      <w:rFonts w:ascii="Times New Roman" w:hAnsi="Times New Roman" w:cs="Times New Roman"/>
      <w:b/>
      <w:bCs/>
      <w:i/>
      <w:iCs/>
      <w:color w:val="4F81BD" w:themeColor="accent1"/>
    </w:rPr>
  </w:style>
  <w:style w:type="paragraph" w:styleId="List">
    <w:name w:val="List"/>
    <w:basedOn w:val="Normal"/>
    <w:uiPriority w:val="99"/>
    <w:semiHidden/>
    <w:unhideWhenUsed/>
    <w:rsid w:val="00E705C9"/>
    <w:pPr>
      <w:ind w:left="360" w:hanging="360"/>
      <w:contextualSpacing/>
    </w:pPr>
  </w:style>
  <w:style w:type="paragraph" w:styleId="List2">
    <w:name w:val="List 2"/>
    <w:basedOn w:val="Normal"/>
    <w:uiPriority w:val="99"/>
    <w:semiHidden/>
    <w:unhideWhenUsed/>
    <w:rsid w:val="00E705C9"/>
    <w:pPr>
      <w:ind w:left="720" w:hanging="360"/>
      <w:contextualSpacing/>
    </w:pPr>
  </w:style>
  <w:style w:type="paragraph" w:styleId="List3">
    <w:name w:val="List 3"/>
    <w:basedOn w:val="Normal"/>
    <w:uiPriority w:val="99"/>
    <w:semiHidden/>
    <w:unhideWhenUsed/>
    <w:rsid w:val="00E705C9"/>
    <w:pPr>
      <w:ind w:left="1080" w:hanging="360"/>
      <w:contextualSpacing/>
    </w:pPr>
  </w:style>
  <w:style w:type="paragraph" w:styleId="List4">
    <w:name w:val="List 4"/>
    <w:basedOn w:val="Normal"/>
    <w:uiPriority w:val="99"/>
    <w:semiHidden/>
    <w:unhideWhenUsed/>
    <w:rsid w:val="00E705C9"/>
    <w:pPr>
      <w:ind w:left="1440" w:hanging="360"/>
      <w:contextualSpacing/>
    </w:pPr>
  </w:style>
  <w:style w:type="paragraph" w:styleId="List5">
    <w:name w:val="List 5"/>
    <w:basedOn w:val="Normal"/>
    <w:uiPriority w:val="99"/>
    <w:semiHidden/>
    <w:unhideWhenUsed/>
    <w:rsid w:val="00E705C9"/>
    <w:pPr>
      <w:ind w:left="1800" w:hanging="360"/>
      <w:contextualSpacing/>
    </w:pPr>
  </w:style>
  <w:style w:type="paragraph" w:styleId="ListBullet">
    <w:name w:val="List Bullet"/>
    <w:basedOn w:val="Normal"/>
    <w:uiPriority w:val="99"/>
    <w:semiHidden/>
    <w:unhideWhenUsed/>
    <w:rsid w:val="00E705C9"/>
    <w:pPr>
      <w:numPr>
        <w:numId w:val="26"/>
      </w:numPr>
      <w:contextualSpacing/>
    </w:pPr>
  </w:style>
  <w:style w:type="paragraph" w:styleId="ListBullet2">
    <w:name w:val="List Bullet 2"/>
    <w:basedOn w:val="Normal"/>
    <w:uiPriority w:val="99"/>
    <w:semiHidden/>
    <w:unhideWhenUsed/>
    <w:rsid w:val="00E705C9"/>
    <w:pPr>
      <w:numPr>
        <w:numId w:val="27"/>
      </w:numPr>
      <w:contextualSpacing/>
    </w:pPr>
  </w:style>
  <w:style w:type="paragraph" w:styleId="ListBullet3">
    <w:name w:val="List Bullet 3"/>
    <w:basedOn w:val="Normal"/>
    <w:uiPriority w:val="99"/>
    <w:semiHidden/>
    <w:unhideWhenUsed/>
    <w:rsid w:val="00E705C9"/>
    <w:pPr>
      <w:numPr>
        <w:numId w:val="28"/>
      </w:numPr>
      <w:contextualSpacing/>
    </w:pPr>
  </w:style>
  <w:style w:type="paragraph" w:styleId="ListBullet4">
    <w:name w:val="List Bullet 4"/>
    <w:basedOn w:val="Normal"/>
    <w:uiPriority w:val="99"/>
    <w:semiHidden/>
    <w:unhideWhenUsed/>
    <w:rsid w:val="00E705C9"/>
    <w:pPr>
      <w:numPr>
        <w:numId w:val="29"/>
      </w:numPr>
      <w:contextualSpacing/>
    </w:pPr>
  </w:style>
  <w:style w:type="paragraph" w:styleId="ListBullet5">
    <w:name w:val="List Bullet 5"/>
    <w:basedOn w:val="Normal"/>
    <w:uiPriority w:val="99"/>
    <w:semiHidden/>
    <w:unhideWhenUsed/>
    <w:rsid w:val="00E705C9"/>
    <w:pPr>
      <w:numPr>
        <w:numId w:val="30"/>
      </w:numPr>
      <w:contextualSpacing/>
    </w:pPr>
  </w:style>
  <w:style w:type="paragraph" w:styleId="ListContinue">
    <w:name w:val="List Continue"/>
    <w:basedOn w:val="Normal"/>
    <w:uiPriority w:val="99"/>
    <w:semiHidden/>
    <w:unhideWhenUsed/>
    <w:rsid w:val="00E705C9"/>
    <w:pPr>
      <w:spacing w:after="120"/>
      <w:ind w:left="360"/>
      <w:contextualSpacing/>
    </w:pPr>
  </w:style>
  <w:style w:type="paragraph" w:styleId="ListContinue2">
    <w:name w:val="List Continue 2"/>
    <w:basedOn w:val="Normal"/>
    <w:uiPriority w:val="99"/>
    <w:semiHidden/>
    <w:unhideWhenUsed/>
    <w:rsid w:val="00E705C9"/>
    <w:pPr>
      <w:spacing w:after="120"/>
      <w:ind w:left="720"/>
      <w:contextualSpacing/>
    </w:pPr>
  </w:style>
  <w:style w:type="paragraph" w:styleId="ListContinue3">
    <w:name w:val="List Continue 3"/>
    <w:basedOn w:val="Normal"/>
    <w:uiPriority w:val="99"/>
    <w:semiHidden/>
    <w:unhideWhenUsed/>
    <w:rsid w:val="00E705C9"/>
    <w:pPr>
      <w:spacing w:after="120"/>
      <w:ind w:left="1080"/>
      <w:contextualSpacing/>
    </w:pPr>
  </w:style>
  <w:style w:type="paragraph" w:styleId="ListContinue4">
    <w:name w:val="List Continue 4"/>
    <w:basedOn w:val="Normal"/>
    <w:uiPriority w:val="99"/>
    <w:semiHidden/>
    <w:unhideWhenUsed/>
    <w:rsid w:val="00E705C9"/>
    <w:pPr>
      <w:spacing w:after="120"/>
      <w:ind w:left="1440"/>
      <w:contextualSpacing/>
    </w:pPr>
  </w:style>
  <w:style w:type="paragraph" w:styleId="ListContinue5">
    <w:name w:val="List Continue 5"/>
    <w:basedOn w:val="Normal"/>
    <w:uiPriority w:val="99"/>
    <w:semiHidden/>
    <w:unhideWhenUsed/>
    <w:rsid w:val="00E705C9"/>
    <w:pPr>
      <w:spacing w:after="120"/>
      <w:ind w:left="1800"/>
      <w:contextualSpacing/>
    </w:pPr>
  </w:style>
  <w:style w:type="paragraph" w:styleId="ListNumber">
    <w:name w:val="List Number"/>
    <w:basedOn w:val="Normal"/>
    <w:uiPriority w:val="99"/>
    <w:semiHidden/>
    <w:unhideWhenUsed/>
    <w:rsid w:val="00E705C9"/>
    <w:pPr>
      <w:numPr>
        <w:numId w:val="31"/>
      </w:numPr>
      <w:contextualSpacing/>
    </w:pPr>
  </w:style>
  <w:style w:type="paragraph" w:styleId="ListNumber2">
    <w:name w:val="List Number 2"/>
    <w:basedOn w:val="Normal"/>
    <w:uiPriority w:val="99"/>
    <w:semiHidden/>
    <w:unhideWhenUsed/>
    <w:rsid w:val="00E705C9"/>
    <w:pPr>
      <w:numPr>
        <w:numId w:val="32"/>
      </w:numPr>
      <w:contextualSpacing/>
    </w:pPr>
  </w:style>
  <w:style w:type="paragraph" w:styleId="ListNumber3">
    <w:name w:val="List Number 3"/>
    <w:basedOn w:val="Normal"/>
    <w:uiPriority w:val="99"/>
    <w:semiHidden/>
    <w:unhideWhenUsed/>
    <w:rsid w:val="00E705C9"/>
    <w:pPr>
      <w:numPr>
        <w:numId w:val="33"/>
      </w:numPr>
      <w:contextualSpacing/>
    </w:pPr>
  </w:style>
  <w:style w:type="paragraph" w:styleId="ListNumber4">
    <w:name w:val="List Number 4"/>
    <w:basedOn w:val="Normal"/>
    <w:uiPriority w:val="99"/>
    <w:semiHidden/>
    <w:unhideWhenUsed/>
    <w:rsid w:val="00E705C9"/>
    <w:pPr>
      <w:numPr>
        <w:numId w:val="34"/>
      </w:numPr>
      <w:contextualSpacing/>
    </w:pPr>
  </w:style>
  <w:style w:type="paragraph" w:styleId="ListNumber5">
    <w:name w:val="List Number 5"/>
    <w:basedOn w:val="Normal"/>
    <w:uiPriority w:val="99"/>
    <w:semiHidden/>
    <w:unhideWhenUsed/>
    <w:rsid w:val="00E705C9"/>
    <w:pPr>
      <w:numPr>
        <w:numId w:val="35"/>
      </w:numPr>
      <w:contextualSpacing/>
    </w:pPr>
  </w:style>
  <w:style w:type="paragraph" w:styleId="ListParagraph">
    <w:name w:val="List Paragraph"/>
    <w:basedOn w:val="Normal"/>
    <w:uiPriority w:val="33"/>
    <w:semiHidden/>
    <w:qFormat/>
    <w:rsid w:val="00E705C9"/>
    <w:pPr>
      <w:ind w:left="720"/>
      <w:contextualSpacing/>
    </w:pPr>
  </w:style>
  <w:style w:type="paragraph" w:styleId="MacroText">
    <w:name w:val="macro"/>
    <w:link w:val="MacroTextChar"/>
    <w:uiPriority w:val="99"/>
    <w:semiHidden/>
    <w:unhideWhenUsed/>
    <w:rsid w:val="00E705C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705C9"/>
    <w:rPr>
      <w:rFonts w:ascii="Consolas" w:hAnsi="Consolas" w:cs="Consolas"/>
      <w:sz w:val="20"/>
      <w:szCs w:val="20"/>
    </w:rPr>
  </w:style>
  <w:style w:type="paragraph" w:styleId="MessageHeader">
    <w:name w:val="Message Header"/>
    <w:basedOn w:val="Normal"/>
    <w:link w:val="MessageHeaderChar"/>
    <w:uiPriority w:val="99"/>
    <w:semiHidden/>
    <w:unhideWhenUsed/>
    <w:rsid w:val="00E705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705C9"/>
    <w:rPr>
      <w:rFonts w:eastAsiaTheme="majorEastAsia" w:cstheme="majorBidi"/>
      <w:shd w:val="pct20" w:color="auto" w:fill="auto"/>
    </w:rPr>
  </w:style>
  <w:style w:type="paragraph" w:styleId="NoSpacing">
    <w:name w:val="No Spacing"/>
    <w:uiPriority w:val="1"/>
    <w:qFormat/>
    <w:rsid w:val="00E705C9"/>
    <w:rPr>
      <w:rFonts w:ascii="Times New Roman" w:hAnsi="Times New Roman" w:cs="Times New Roman"/>
    </w:rPr>
  </w:style>
  <w:style w:type="paragraph" w:styleId="NormalWeb">
    <w:name w:val="Normal (Web)"/>
    <w:basedOn w:val="Normal"/>
    <w:uiPriority w:val="99"/>
    <w:semiHidden/>
    <w:unhideWhenUsed/>
    <w:rsid w:val="00E705C9"/>
  </w:style>
  <w:style w:type="paragraph" w:styleId="NormalIndent">
    <w:name w:val="Normal Indent"/>
    <w:basedOn w:val="Normal"/>
    <w:uiPriority w:val="99"/>
    <w:semiHidden/>
    <w:unhideWhenUsed/>
    <w:rsid w:val="00E705C9"/>
    <w:pPr>
      <w:ind w:left="720"/>
    </w:pPr>
  </w:style>
  <w:style w:type="paragraph" w:styleId="NoteHeading">
    <w:name w:val="Note Heading"/>
    <w:basedOn w:val="Normal"/>
    <w:next w:val="Normal"/>
    <w:link w:val="NoteHeadingChar"/>
    <w:uiPriority w:val="99"/>
    <w:semiHidden/>
    <w:unhideWhenUsed/>
    <w:rsid w:val="00E705C9"/>
  </w:style>
  <w:style w:type="character" w:customStyle="1" w:styleId="NoteHeadingChar">
    <w:name w:val="Note Heading Char"/>
    <w:basedOn w:val="DefaultParagraphFont"/>
    <w:link w:val="NoteHeading"/>
    <w:uiPriority w:val="99"/>
    <w:semiHidden/>
    <w:rsid w:val="00E705C9"/>
    <w:rPr>
      <w:rFonts w:ascii="Times New Roman" w:hAnsi="Times New Roman" w:cs="Times New Roman"/>
    </w:rPr>
  </w:style>
  <w:style w:type="paragraph" w:styleId="PlainText">
    <w:name w:val="Plain Text"/>
    <w:basedOn w:val="Normal"/>
    <w:link w:val="PlainTextChar"/>
    <w:uiPriority w:val="99"/>
    <w:semiHidden/>
    <w:unhideWhenUsed/>
    <w:rsid w:val="00E705C9"/>
    <w:rPr>
      <w:rFonts w:ascii="Consolas" w:hAnsi="Consolas" w:cs="Consolas"/>
      <w:sz w:val="21"/>
      <w:szCs w:val="21"/>
    </w:rPr>
  </w:style>
  <w:style w:type="character" w:customStyle="1" w:styleId="PlainTextChar">
    <w:name w:val="Plain Text Char"/>
    <w:basedOn w:val="DefaultParagraphFont"/>
    <w:link w:val="PlainText"/>
    <w:uiPriority w:val="99"/>
    <w:semiHidden/>
    <w:rsid w:val="00E705C9"/>
    <w:rPr>
      <w:rFonts w:ascii="Consolas" w:hAnsi="Consolas" w:cs="Consolas"/>
      <w:sz w:val="21"/>
      <w:szCs w:val="21"/>
    </w:rPr>
  </w:style>
  <w:style w:type="paragraph" w:styleId="Salutation">
    <w:name w:val="Salutation"/>
    <w:basedOn w:val="Normal"/>
    <w:next w:val="Normal"/>
    <w:link w:val="SalutationChar"/>
    <w:uiPriority w:val="99"/>
    <w:semiHidden/>
    <w:unhideWhenUsed/>
    <w:rsid w:val="00E705C9"/>
  </w:style>
  <w:style w:type="character" w:customStyle="1" w:styleId="SalutationChar">
    <w:name w:val="Salutation Char"/>
    <w:basedOn w:val="DefaultParagraphFont"/>
    <w:link w:val="Salutation"/>
    <w:uiPriority w:val="99"/>
    <w:semiHidden/>
    <w:rsid w:val="00E705C9"/>
    <w:rPr>
      <w:rFonts w:ascii="Times New Roman" w:hAnsi="Times New Roman" w:cs="Times New Roman"/>
    </w:rPr>
  </w:style>
  <w:style w:type="paragraph" w:styleId="Signature">
    <w:name w:val="Signature"/>
    <w:basedOn w:val="Normal"/>
    <w:link w:val="SignatureChar"/>
    <w:uiPriority w:val="99"/>
    <w:semiHidden/>
    <w:unhideWhenUsed/>
    <w:rsid w:val="00E705C9"/>
    <w:pPr>
      <w:ind w:left="4320"/>
    </w:pPr>
  </w:style>
  <w:style w:type="character" w:customStyle="1" w:styleId="SignatureChar">
    <w:name w:val="Signature Char"/>
    <w:basedOn w:val="DefaultParagraphFont"/>
    <w:link w:val="Signature"/>
    <w:uiPriority w:val="99"/>
    <w:semiHidden/>
    <w:rsid w:val="00E705C9"/>
    <w:rPr>
      <w:rFonts w:ascii="Times New Roman" w:hAnsi="Times New Roman" w:cs="Times New Roman"/>
    </w:rPr>
  </w:style>
  <w:style w:type="paragraph" w:styleId="Subtitle">
    <w:name w:val="Subtitle"/>
    <w:basedOn w:val="Normal"/>
    <w:next w:val="Normal"/>
    <w:link w:val="SubtitleChar"/>
    <w:uiPriority w:val="11"/>
    <w:semiHidden/>
    <w:qFormat/>
    <w:rsid w:val="00E705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E705C9"/>
    <w:rPr>
      <w:rFonts w:eastAsiaTheme="majorEastAsia" w:cstheme="majorBidi"/>
      <w:i/>
      <w:iCs/>
      <w:color w:val="4F81BD" w:themeColor="accent1"/>
      <w:spacing w:val="15"/>
    </w:rPr>
  </w:style>
  <w:style w:type="paragraph" w:styleId="TableofAuthorities">
    <w:name w:val="table of authorities"/>
    <w:basedOn w:val="Normal"/>
    <w:next w:val="Normal"/>
    <w:uiPriority w:val="99"/>
    <w:semiHidden/>
    <w:unhideWhenUsed/>
    <w:rsid w:val="00E705C9"/>
    <w:pPr>
      <w:ind w:left="240" w:hanging="240"/>
    </w:pPr>
  </w:style>
  <w:style w:type="paragraph" w:styleId="TableofFigures">
    <w:name w:val="table of figures"/>
    <w:basedOn w:val="Normal"/>
    <w:next w:val="Normal"/>
    <w:uiPriority w:val="99"/>
    <w:semiHidden/>
    <w:unhideWhenUsed/>
    <w:rsid w:val="00E705C9"/>
  </w:style>
  <w:style w:type="paragraph" w:styleId="TOAHeading">
    <w:name w:val="toa heading"/>
    <w:basedOn w:val="Normal"/>
    <w:next w:val="Normal"/>
    <w:uiPriority w:val="99"/>
    <w:semiHidden/>
    <w:unhideWhenUsed/>
    <w:rsid w:val="00E705C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705C9"/>
    <w:pPr>
      <w:spacing w:after="100"/>
    </w:pPr>
  </w:style>
  <w:style w:type="paragraph" w:styleId="TOC2">
    <w:name w:val="toc 2"/>
    <w:basedOn w:val="Normal"/>
    <w:next w:val="Normal"/>
    <w:autoRedefine/>
    <w:uiPriority w:val="39"/>
    <w:semiHidden/>
    <w:unhideWhenUsed/>
    <w:rsid w:val="00E705C9"/>
    <w:pPr>
      <w:spacing w:after="100"/>
      <w:ind w:left="240"/>
    </w:pPr>
  </w:style>
  <w:style w:type="paragraph" w:styleId="TOC3">
    <w:name w:val="toc 3"/>
    <w:basedOn w:val="Normal"/>
    <w:next w:val="Normal"/>
    <w:autoRedefine/>
    <w:uiPriority w:val="39"/>
    <w:semiHidden/>
    <w:unhideWhenUsed/>
    <w:rsid w:val="00E705C9"/>
    <w:pPr>
      <w:spacing w:after="100"/>
      <w:ind w:left="480"/>
    </w:pPr>
  </w:style>
  <w:style w:type="paragraph" w:styleId="TOC4">
    <w:name w:val="toc 4"/>
    <w:basedOn w:val="Normal"/>
    <w:next w:val="Normal"/>
    <w:autoRedefine/>
    <w:uiPriority w:val="39"/>
    <w:semiHidden/>
    <w:unhideWhenUsed/>
    <w:rsid w:val="00E705C9"/>
    <w:pPr>
      <w:spacing w:after="100"/>
      <w:ind w:left="720"/>
    </w:pPr>
  </w:style>
  <w:style w:type="paragraph" w:styleId="TOC5">
    <w:name w:val="toc 5"/>
    <w:basedOn w:val="Normal"/>
    <w:next w:val="Normal"/>
    <w:autoRedefine/>
    <w:uiPriority w:val="39"/>
    <w:semiHidden/>
    <w:unhideWhenUsed/>
    <w:rsid w:val="00E705C9"/>
    <w:pPr>
      <w:spacing w:after="100"/>
      <w:ind w:left="960"/>
    </w:pPr>
  </w:style>
  <w:style w:type="paragraph" w:styleId="TOC6">
    <w:name w:val="toc 6"/>
    <w:basedOn w:val="Normal"/>
    <w:next w:val="Normal"/>
    <w:autoRedefine/>
    <w:uiPriority w:val="39"/>
    <w:semiHidden/>
    <w:unhideWhenUsed/>
    <w:rsid w:val="00E705C9"/>
    <w:pPr>
      <w:spacing w:after="100"/>
      <w:ind w:left="1200"/>
    </w:pPr>
  </w:style>
  <w:style w:type="paragraph" w:styleId="TOC7">
    <w:name w:val="toc 7"/>
    <w:basedOn w:val="Normal"/>
    <w:next w:val="Normal"/>
    <w:autoRedefine/>
    <w:uiPriority w:val="39"/>
    <w:semiHidden/>
    <w:unhideWhenUsed/>
    <w:rsid w:val="00E705C9"/>
    <w:pPr>
      <w:spacing w:after="100"/>
      <w:ind w:left="1440"/>
    </w:pPr>
  </w:style>
  <w:style w:type="paragraph" w:styleId="TOC8">
    <w:name w:val="toc 8"/>
    <w:basedOn w:val="Normal"/>
    <w:next w:val="Normal"/>
    <w:autoRedefine/>
    <w:uiPriority w:val="39"/>
    <w:semiHidden/>
    <w:unhideWhenUsed/>
    <w:rsid w:val="00E705C9"/>
    <w:pPr>
      <w:spacing w:after="100"/>
      <w:ind w:left="1680"/>
    </w:pPr>
  </w:style>
  <w:style w:type="paragraph" w:styleId="TOC9">
    <w:name w:val="toc 9"/>
    <w:basedOn w:val="Normal"/>
    <w:next w:val="Normal"/>
    <w:autoRedefine/>
    <w:uiPriority w:val="39"/>
    <w:semiHidden/>
    <w:unhideWhenUsed/>
    <w:rsid w:val="00E705C9"/>
    <w:pPr>
      <w:spacing w:after="100"/>
      <w:ind w:left="1920"/>
    </w:pPr>
  </w:style>
  <w:style w:type="paragraph" w:styleId="TOCHeading">
    <w:name w:val="TOC Heading"/>
    <w:basedOn w:val="Heading1"/>
    <w:next w:val="Normal"/>
    <w:uiPriority w:val="39"/>
    <w:semiHidden/>
    <w:unhideWhenUsed/>
    <w:qFormat/>
    <w:rsid w:val="00E705C9"/>
    <w:pPr>
      <w:numPr>
        <w:numId w:val="0"/>
      </w:numPr>
      <w:spacing w:after="0"/>
      <w:outlineLvl w:val="9"/>
    </w:pPr>
    <w:rPr>
      <w:rFonts w:asciiTheme="majorHAnsi" w:hAnsiTheme="majorHAnsi"/>
      <w:color w:val="365F91" w:themeColor="accent1" w:themeShade="BF"/>
      <w:sz w:val="28"/>
    </w:rPr>
  </w:style>
  <w:style w:type="character" w:styleId="FootnoteReference">
    <w:name w:val="footnote reference"/>
    <w:basedOn w:val="DefaultParagraphFont"/>
    <w:uiPriority w:val="99"/>
    <w:semiHidden/>
    <w:unhideWhenUsed/>
    <w:rsid w:val="008012A1"/>
    <w:rPr>
      <w:vertAlign w:val="superscript"/>
    </w:rPr>
  </w:style>
  <w:style w:type="table" w:styleId="TableGrid">
    <w:name w:val="Table Grid"/>
    <w:basedOn w:val="TableNormal"/>
    <w:uiPriority w:val="59"/>
    <w:rsid w:val="0045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920"/>
    <w:rPr>
      <w:sz w:val="16"/>
      <w:szCs w:val="16"/>
    </w:rPr>
  </w:style>
  <w:style w:type="paragraph" w:styleId="Revision">
    <w:name w:val="Revision"/>
    <w:hidden/>
    <w:uiPriority w:val="99"/>
    <w:semiHidden/>
    <w:rsid w:val="007719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Gail Ashby</dc:creator>
  <cp:keywords>
  </cp:keywords>
  <dc:description>
  </dc:description>
  <cp:lastModifiedBy>Gail Ashby</cp:lastModifiedBy>
  <cp:revision>2</cp:revision>
  <dcterms:created xsi:type="dcterms:W3CDTF">2019-11-14T14:08:00Z</dcterms:created>
  <dcterms:modified xsi:type="dcterms:W3CDTF">2019-11-14T14:08:00Z</dcterms:modified>
</cp:coreProperties>
</file>